
<file path=[Content_Types].xml><?xml version="1.0" encoding="utf-8"?>
<Types xmlns="http://schemas.openxmlformats.org/package/2006/content-types">
  <Default Extension="xml" ContentType="application/xml"/>
  <Default Extension="xlsx" ContentType="application/vnd.openxmlformats-officedocument.spreadsheetml.sheet"/>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themeColor="background1"/>
  <w:body>
    <w:p>
      <w:pPr>
        <w:widowControl/>
        <w:spacing w:line="1200" w:lineRule="exact"/>
        <w:jc w:val="center"/>
        <w:rPr>
          <w:rFonts w:hAnsi="宋体" w:asciiTheme="minorEastAsia" w:eastAsiaTheme="minorEastAsia"/>
          <w:color w:val="000000" w:themeColor="text1"/>
          <w:sz w:val="96"/>
          <w:szCs w:val="96"/>
        </w:rPr>
      </w:pPr>
      <w:bookmarkStart w:id="1" w:name="_GoBack"/>
      <w:bookmarkEnd w:id="1"/>
    </w:p>
    <w:p>
      <w:pPr>
        <w:widowControl/>
        <w:spacing w:line="1200" w:lineRule="exact"/>
        <w:jc w:val="center"/>
        <w:rPr>
          <w:rFonts w:hAnsi="宋体" w:asciiTheme="minorEastAsia" w:eastAsiaTheme="minorEastAsia"/>
          <w:color w:val="000000" w:themeColor="text1"/>
          <w:sz w:val="96"/>
          <w:szCs w:val="96"/>
        </w:rPr>
      </w:pPr>
    </w:p>
    <w:p>
      <w:pPr>
        <w:widowControl/>
        <w:spacing w:line="1200" w:lineRule="exact"/>
        <w:jc w:val="center"/>
        <w:rPr>
          <w:color w:val="000000" w:themeColor="text1"/>
          <w:sz w:val="96"/>
          <w:szCs w:val="96"/>
        </w:rPr>
      </w:pPr>
      <w:r>
        <w:rPr>
          <w:sz w:val="84"/>
          <w:szCs w:val="84"/>
        </w:rPr>
        <w:t>201</w:t>
      </w:r>
      <w:r>
        <w:rPr>
          <w:rFonts w:hint="eastAsia"/>
          <w:sz w:val="84"/>
          <w:szCs w:val="84"/>
        </w:rPr>
        <w:t>8</w:t>
      </w:r>
      <w:r>
        <w:rPr>
          <w:sz w:val="84"/>
          <w:szCs w:val="84"/>
        </w:rPr>
        <w:t>年度部门决算公开</w:t>
      </w:r>
    </w:p>
    <w:p>
      <w:pPr>
        <w:widowControl/>
        <w:jc w:val="center"/>
        <w:rPr>
          <w:rFonts w:hAnsi="宋体" w:asciiTheme="minorEastAsia" w:eastAsiaTheme="minorEastAsia"/>
          <w:color w:val="002060"/>
          <w:sz w:val="72"/>
          <w:szCs w:val="72"/>
        </w:rPr>
      </w:pPr>
    </w:p>
    <w:p>
      <w:pPr>
        <w:widowControl/>
        <w:jc w:val="center"/>
        <w:rPr>
          <w:rFonts w:asciiTheme="minorEastAsia" w:hAnsiTheme="minorEastAsia" w:eastAsiaTheme="minorEastAsia"/>
          <w:b/>
          <w:sz w:val="72"/>
          <w:szCs w:val="72"/>
        </w:rPr>
      </w:pPr>
    </w:p>
    <w:p>
      <w:pPr>
        <w:widowControl/>
        <w:jc w:val="center"/>
        <w:rPr>
          <w:rFonts w:asciiTheme="minorEastAsia" w:hAnsiTheme="minorEastAsia" w:eastAsiaTheme="minorEastAsia"/>
          <w:b/>
          <w:sz w:val="72"/>
          <w:szCs w:val="72"/>
        </w:rPr>
      </w:pPr>
    </w:p>
    <w:p>
      <w:pPr>
        <w:widowControl/>
        <w:jc w:val="center"/>
        <w:rPr>
          <w:rFonts w:asciiTheme="minorEastAsia" w:hAnsiTheme="minorEastAsia" w:eastAsiaTheme="minorEastAsia"/>
          <w:b/>
          <w:sz w:val="72"/>
          <w:szCs w:val="72"/>
        </w:rPr>
      </w:pPr>
    </w:p>
    <w:p>
      <w:pPr>
        <w:widowControl/>
        <w:jc w:val="center"/>
        <w:rPr>
          <w:rFonts w:asciiTheme="minorEastAsia" w:hAnsiTheme="minorEastAsia" w:eastAsiaTheme="minorEastAsia"/>
          <w:b/>
          <w:sz w:val="72"/>
          <w:szCs w:val="72"/>
        </w:rPr>
      </w:pPr>
    </w:p>
    <w:p>
      <w:pPr>
        <w:widowControl/>
        <w:jc w:val="center"/>
        <w:rPr>
          <w:rFonts w:asciiTheme="minorEastAsia" w:hAnsiTheme="minorEastAsia" w:eastAsiaTheme="minorEastAsia"/>
          <w:b/>
          <w:sz w:val="72"/>
          <w:szCs w:val="72"/>
        </w:rPr>
      </w:pPr>
    </w:p>
    <w:p>
      <w:pPr>
        <w:widowControl/>
        <w:ind w:firstLine="2209" w:firstLineChars="500"/>
        <w:jc w:val="left"/>
        <w:rPr>
          <w:rFonts w:ascii="楷体" w:hAnsi="楷体" w:eastAsia="楷体" w:cs="楷体"/>
          <w:b/>
          <w:sz w:val="44"/>
          <w:szCs w:val="44"/>
        </w:rPr>
        <w:sectPr>
          <w:pgSz w:w="11906" w:h="16838"/>
          <w:pgMar w:top="2098" w:right="1474" w:bottom="1985" w:left="1588" w:header="851" w:footer="992" w:gutter="0"/>
          <w:cols w:space="425" w:num="1"/>
          <w:docGrid w:type="lines" w:linePitch="312" w:charSpace="0"/>
        </w:sectPr>
      </w:pPr>
      <w:r>
        <w:rPr>
          <w:b/>
          <w:sz w:val="44"/>
          <w:szCs w:val="44"/>
        </w:rPr>
        <w:t>廊坊市</w:t>
      </w:r>
      <w:r>
        <w:rPr>
          <w:rFonts w:hint="eastAsia"/>
          <w:b/>
          <w:sz w:val="44"/>
          <w:szCs w:val="44"/>
        </w:rPr>
        <w:t>文安县粮食局</w:t>
      </w:r>
    </w:p>
    <w:p>
      <w:pPr>
        <w:spacing w:beforeLines="200" w:after="0" w:line="1000" w:lineRule="exact"/>
        <w:jc w:val="center"/>
        <w:rPr>
          <w:rFonts w:ascii="黑体" w:eastAsia="黑体"/>
          <w:sz w:val="48"/>
          <w:szCs w:val="48"/>
        </w:rPr>
      </w:pPr>
      <w:r>
        <w:rPr>
          <w:rFonts w:hint="eastAsia" w:ascii="黑体" w:eastAsia="黑体"/>
          <w:sz w:val="48"/>
          <w:szCs w:val="48"/>
        </w:rPr>
        <w:t>目    录</w:t>
      </w:r>
    </w:p>
    <w:p>
      <w:pPr>
        <w:widowControl/>
        <w:spacing w:line="580" w:lineRule="exact"/>
        <w:ind w:firstLine="640" w:firstLineChars="200"/>
        <w:rPr>
          <w:rFonts w:eastAsia="黑体"/>
          <w:sz w:val="32"/>
          <w:szCs w:val="32"/>
        </w:rPr>
      </w:pPr>
    </w:p>
    <w:p>
      <w:pPr>
        <w:widowControl/>
        <w:spacing w:line="580" w:lineRule="exact"/>
        <w:ind w:firstLine="640" w:firstLineChars="200"/>
        <w:rPr>
          <w:rFonts w:eastAsia="仿宋_GB2312"/>
          <w:sz w:val="24"/>
          <w:szCs w:val="32"/>
        </w:rPr>
      </w:pPr>
      <w:r>
        <w:rPr>
          <w:rFonts w:eastAsia="黑体"/>
          <w:sz w:val="32"/>
          <w:szCs w:val="32"/>
        </w:rPr>
        <w:t>第一部分部门概况</w:t>
      </w:r>
    </w:p>
    <w:p>
      <w:pPr>
        <w:pStyle w:val="32"/>
        <w:widowControl/>
        <w:numPr>
          <w:ilvl w:val="0"/>
          <w:numId w:val="1"/>
        </w:numPr>
        <w:spacing w:line="580" w:lineRule="exact"/>
        <w:ind w:firstLineChars="0"/>
        <w:rPr>
          <w:rFonts w:ascii="仿宋" w:hAnsi="仿宋" w:eastAsia="仿宋"/>
          <w:sz w:val="32"/>
          <w:szCs w:val="32"/>
        </w:rPr>
      </w:pPr>
      <w:r>
        <w:rPr>
          <w:rFonts w:ascii="仿宋" w:hAnsi="仿宋" w:eastAsia="仿宋"/>
          <w:sz w:val="32"/>
          <w:szCs w:val="32"/>
        </w:rPr>
        <w:t>部门</w:t>
      </w:r>
      <w:r>
        <w:rPr>
          <w:rFonts w:hint="eastAsia" w:ascii="仿宋" w:hAnsi="仿宋" w:eastAsia="仿宋"/>
          <w:sz w:val="32"/>
          <w:szCs w:val="32"/>
        </w:rPr>
        <w:t>职责</w:t>
      </w:r>
    </w:p>
    <w:p>
      <w:pPr>
        <w:widowControl/>
        <w:spacing w:line="580" w:lineRule="exact"/>
        <w:ind w:firstLine="1273" w:firstLineChars="398"/>
        <w:rPr>
          <w:rFonts w:ascii="仿宋" w:hAnsi="仿宋" w:eastAsia="仿宋"/>
          <w:sz w:val="32"/>
          <w:szCs w:val="32"/>
        </w:rPr>
      </w:pPr>
      <w:r>
        <w:rPr>
          <w:rFonts w:ascii="仿宋" w:hAnsi="仿宋" w:eastAsia="仿宋"/>
          <w:sz w:val="32"/>
          <w:szCs w:val="32"/>
        </w:rPr>
        <w:t>二、</w:t>
      </w:r>
      <w:r>
        <w:rPr>
          <w:rFonts w:hint="eastAsia" w:ascii="仿宋" w:hAnsi="仿宋" w:eastAsia="仿宋"/>
          <w:sz w:val="32"/>
          <w:szCs w:val="32"/>
        </w:rPr>
        <w:t>机构设置</w:t>
      </w:r>
    </w:p>
    <w:p>
      <w:pPr>
        <w:widowControl/>
        <w:spacing w:line="580" w:lineRule="exact"/>
        <w:ind w:firstLine="640" w:firstLineChars="200"/>
        <w:rPr>
          <w:rFonts w:eastAsia="仿宋_GB2312"/>
          <w:sz w:val="20"/>
          <w:szCs w:val="32"/>
        </w:rPr>
      </w:pPr>
      <w:r>
        <w:rPr>
          <w:rFonts w:eastAsia="黑体"/>
          <w:sz w:val="32"/>
          <w:szCs w:val="32"/>
        </w:rPr>
        <w:t>第二部分   201</w:t>
      </w:r>
      <w:r>
        <w:rPr>
          <w:rFonts w:hint="eastAsia" w:eastAsia="黑体"/>
          <w:sz w:val="32"/>
          <w:szCs w:val="32"/>
        </w:rPr>
        <w:t>8</w:t>
      </w:r>
      <w:r>
        <w:rPr>
          <w:rFonts w:eastAsia="黑体"/>
          <w:sz w:val="32"/>
          <w:szCs w:val="32"/>
        </w:rPr>
        <w:t>年度部门决算报表</w:t>
      </w:r>
    </w:p>
    <w:p>
      <w:pPr>
        <w:widowControl/>
        <w:spacing w:line="580" w:lineRule="exact"/>
        <w:ind w:left="640" w:firstLine="640" w:firstLineChars="200"/>
        <w:rPr>
          <w:rFonts w:ascii="仿宋" w:hAnsi="仿宋" w:eastAsia="仿宋"/>
          <w:sz w:val="32"/>
          <w:szCs w:val="32"/>
        </w:rPr>
      </w:pPr>
      <w:r>
        <w:rPr>
          <w:rFonts w:ascii="仿宋" w:hAnsi="仿宋" w:eastAsia="仿宋"/>
          <w:sz w:val="32"/>
          <w:szCs w:val="32"/>
        </w:rPr>
        <w:t>一、收入支出决算总表</w:t>
      </w:r>
    </w:p>
    <w:p>
      <w:pPr>
        <w:widowControl/>
        <w:spacing w:line="580" w:lineRule="exact"/>
        <w:ind w:left="640" w:firstLine="640" w:firstLineChars="200"/>
        <w:rPr>
          <w:rFonts w:ascii="仿宋" w:hAnsi="仿宋" w:eastAsia="仿宋"/>
          <w:sz w:val="32"/>
          <w:szCs w:val="32"/>
        </w:rPr>
      </w:pPr>
      <w:r>
        <w:rPr>
          <w:rFonts w:ascii="仿宋" w:hAnsi="仿宋" w:eastAsia="仿宋"/>
          <w:sz w:val="32"/>
          <w:szCs w:val="32"/>
        </w:rPr>
        <w:t>二、收入决算表</w:t>
      </w:r>
    </w:p>
    <w:p>
      <w:pPr>
        <w:widowControl/>
        <w:spacing w:line="580" w:lineRule="exact"/>
        <w:ind w:left="640" w:firstLine="640" w:firstLineChars="200"/>
        <w:rPr>
          <w:rFonts w:ascii="仿宋" w:hAnsi="仿宋" w:eastAsia="仿宋"/>
          <w:sz w:val="32"/>
          <w:szCs w:val="32"/>
        </w:rPr>
      </w:pPr>
      <w:r>
        <w:rPr>
          <w:rFonts w:ascii="仿宋" w:hAnsi="仿宋" w:eastAsia="仿宋"/>
          <w:sz w:val="32"/>
          <w:szCs w:val="32"/>
        </w:rPr>
        <w:t>三、支出决算表</w:t>
      </w:r>
    </w:p>
    <w:p>
      <w:pPr>
        <w:widowControl/>
        <w:spacing w:line="580" w:lineRule="exact"/>
        <w:ind w:left="640" w:firstLine="640" w:firstLineChars="200"/>
        <w:rPr>
          <w:rFonts w:ascii="仿宋" w:hAnsi="仿宋" w:eastAsia="仿宋"/>
          <w:sz w:val="32"/>
          <w:szCs w:val="32"/>
        </w:rPr>
      </w:pPr>
      <w:r>
        <w:rPr>
          <w:rFonts w:ascii="仿宋" w:hAnsi="仿宋" w:eastAsia="仿宋"/>
          <w:sz w:val="32"/>
          <w:szCs w:val="32"/>
        </w:rPr>
        <w:t>四、财政拨款收入支出决算总表</w:t>
      </w:r>
    </w:p>
    <w:p>
      <w:pPr>
        <w:widowControl/>
        <w:spacing w:line="580" w:lineRule="exact"/>
        <w:ind w:left="640" w:firstLine="640" w:firstLineChars="200"/>
        <w:rPr>
          <w:rFonts w:ascii="仿宋" w:hAnsi="仿宋" w:eastAsia="仿宋"/>
          <w:sz w:val="32"/>
          <w:szCs w:val="32"/>
        </w:rPr>
      </w:pPr>
      <w:r>
        <w:rPr>
          <w:rFonts w:ascii="仿宋" w:hAnsi="仿宋" w:eastAsia="仿宋"/>
          <w:sz w:val="32"/>
          <w:szCs w:val="32"/>
        </w:rPr>
        <w:t>五、一般公共预算财政拨款支出决算表</w:t>
      </w:r>
    </w:p>
    <w:p>
      <w:pPr>
        <w:widowControl/>
        <w:spacing w:line="580" w:lineRule="exact"/>
        <w:ind w:left="640" w:firstLine="640" w:firstLineChars="200"/>
        <w:rPr>
          <w:rFonts w:ascii="仿宋" w:hAnsi="仿宋" w:eastAsia="仿宋"/>
          <w:sz w:val="32"/>
          <w:szCs w:val="32"/>
        </w:rPr>
      </w:pPr>
      <w:r>
        <w:rPr>
          <w:rFonts w:ascii="仿宋" w:hAnsi="仿宋" w:eastAsia="仿宋"/>
          <w:sz w:val="32"/>
          <w:szCs w:val="32"/>
        </w:rPr>
        <w:t>六、一般公共预算财政拨款基本支出决算表</w:t>
      </w:r>
    </w:p>
    <w:p>
      <w:pPr>
        <w:widowControl/>
        <w:spacing w:line="580" w:lineRule="exact"/>
        <w:ind w:left="640" w:firstLine="640" w:firstLineChars="200"/>
        <w:rPr>
          <w:rFonts w:ascii="仿宋" w:hAnsi="仿宋" w:eastAsia="仿宋"/>
          <w:sz w:val="32"/>
          <w:szCs w:val="32"/>
        </w:rPr>
      </w:pPr>
      <w:r>
        <w:rPr>
          <w:rFonts w:ascii="仿宋" w:hAnsi="仿宋" w:eastAsia="仿宋"/>
          <w:sz w:val="32"/>
          <w:szCs w:val="32"/>
        </w:rPr>
        <w:t>七、</w:t>
      </w:r>
      <w:r>
        <w:rPr>
          <w:rFonts w:hint="eastAsia" w:ascii="仿宋" w:hAnsi="仿宋" w:eastAsia="仿宋"/>
          <w:sz w:val="32"/>
          <w:szCs w:val="32"/>
        </w:rPr>
        <w:t>一般公共预算财政拨款</w:t>
      </w:r>
      <w:r>
        <w:rPr>
          <w:rFonts w:ascii="仿宋" w:hAnsi="仿宋" w:eastAsia="仿宋"/>
          <w:sz w:val="32"/>
          <w:szCs w:val="32"/>
        </w:rPr>
        <w:t>“三公”经费</w:t>
      </w:r>
      <w:r>
        <w:rPr>
          <w:rFonts w:hint="eastAsia" w:ascii="仿宋" w:hAnsi="仿宋" w:eastAsia="仿宋"/>
          <w:sz w:val="32"/>
          <w:szCs w:val="32"/>
        </w:rPr>
        <w:t>支出决算表</w:t>
      </w:r>
    </w:p>
    <w:p>
      <w:pPr>
        <w:widowControl/>
        <w:spacing w:line="580" w:lineRule="exact"/>
        <w:ind w:left="640" w:firstLine="640" w:firstLineChars="200"/>
        <w:rPr>
          <w:rFonts w:ascii="仿宋" w:hAnsi="仿宋" w:eastAsia="仿宋"/>
          <w:sz w:val="32"/>
          <w:szCs w:val="32"/>
        </w:rPr>
      </w:pPr>
      <w:r>
        <w:rPr>
          <w:rFonts w:hint="eastAsia" w:ascii="仿宋" w:hAnsi="仿宋" w:eastAsia="仿宋"/>
          <w:sz w:val="32"/>
          <w:szCs w:val="32"/>
        </w:rPr>
        <w:t>八、</w:t>
      </w:r>
      <w:r>
        <w:rPr>
          <w:rFonts w:ascii="仿宋" w:hAnsi="仿宋" w:eastAsia="仿宋"/>
          <w:sz w:val="32"/>
          <w:szCs w:val="32"/>
        </w:rPr>
        <w:t>政府性基金预算财政拨款收入支出决算表</w:t>
      </w:r>
    </w:p>
    <w:p>
      <w:pPr>
        <w:widowControl/>
        <w:spacing w:line="580" w:lineRule="exact"/>
        <w:ind w:left="640" w:firstLine="640" w:firstLineChars="200"/>
        <w:rPr>
          <w:rFonts w:ascii="仿宋" w:hAnsi="仿宋" w:eastAsia="仿宋"/>
          <w:sz w:val="32"/>
          <w:szCs w:val="32"/>
        </w:rPr>
      </w:pPr>
      <w:r>
        <w:rPr>
          <w:rFonts w:hint="eastAsia" w:ascii="仿宋" w:hAnsi="仿宋" w:eastAsia="仿宋"/>
          <w:sz w:val="32"/>
          <w:szCs w:val="32"/>
        </w:rPr>
        <w:t>九</w:t>
      </w:r>
      <w:r>
        <w:rPr>
          <w:rFonts w:ascii="仿宋" w:hAnsi="仿宋" w:eastAsia="仿宋"/>
          <w:sz w:val="32"/>
          <w:szCs w:val="32"/>
        </w:rPr>
        <w:t>、国有资本经营预算</w:t>
      </w:r>
      <w:r>
        <w:rPr>
          <w:rFonts w:hint="eastAsia" w:ascii="仿宋" w:hAnsi="仿宋" w:eastAsia="仿宋"/>
          <w:sz w:val="32"/>
          <w:szCs w:val="32"/>
        </w:rPr>
        <w:t>财政拨款</w:t>
      </w:r>
      <w:r>
        <w:rPr>
          <w:rFonts w:ascii="仿宋" w:hAnsi="仿宋" w:eastAsia="仿宋"/>
          <w:sz w:val="32"/>
          <w:szCs w:val="32"/>
        </w:rPr>
        <w:t>支出决算表</w:t>
      </w:r>
    </w:p>
    <w:p>
      <w:pPr>
        <w:widowControl/>
        <w:spacing w:line="580" w:lineRule="exact"/>
        <w:ind w:left="640" w:firstLine="640" w:firstLineChars="200"/>
        <w:rPr>
          <w:rFonts w:ascii="仿宋" w:hAnsi="仿宋" w:eastAsia="仿宋"/>
          <w:sz w:val="32"/>
          <w:szCs w:val="32"/>
        </w:rPr>
      </w:pPr>
      <w:r>
        <w:rPr>
          <w:rFonts w:hint="eastAsia" w:ascii="仿宋" w:hAnsi="仿宋" w:eastAsia="仿宋"/>
          <w:sz w:val="32"/>
          <w:szCs w:val="32"/>
        </w:rPr>
        <w:t>十</w:t>
      </w:r>
      <w:r>
        <w:rPr>
          <w:rFonts w:ascii="仿宋" w:hAnsi="仿宋" w:eastAsia="仿宋"/>
          <w:sz w:val="32"/>
          <w:szCs w:val="32"/>
        </w:rPr>
        <w:t>、政府采购情况表</w:t>
      </w: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r>
        <w:rPr>
          <w:rFonts w:eastAsia="黑体"/>
          <w:sz w:val="32"/>
          <w:szCs w:val="32"/>
        </w:rPr>
        <w:t xml:space="preserve">第三部分  </w:t>
      </w:r>
      <w:r>
        <w:rPr>
          <w:rFonts w:hint="eastAsia" w:eastAsia="黑体"/>
          <w:sz w:val="32"/>
          <w:szCs w:val="32"/>
        </w:rPr>
        <w:t>文安县粮食局</w:t>
      </w:r>
      <w:r>
        <w:rPr>
          <w:rFonts w:eastAsia="黑体"/>
          <w:sz w:val="32"/>
          <w:szCs w:val="32"/>
        </w:rPr>
        <w:t>部门201</w:t>
      </w:r>
      <w:r>
        <w:rPr>
          <w:rFonts w:hint="eastAsia" w:eastAsia="黑体"/>
          <w:sz w:val="32"/>
          <w:szCs w:val="32"/>
        </w:rPr>
        <w:t>8</w:t>
      </w:r>
      <w:r>
        <w:rPr>
          <w:rFonts w:eastAsia="黑体"/>
          <w:sz w:val="32"/>
          <w:szCs w:val="32"/>
        </w:rPr>
        <w:t>年部门决算情况说明</w:t>
      </w:r>
    </w:p>
    <w:p>
      <w:pPr>
        <w:widowControl/>
        <w:spacing w:line="580" w:lineRule="exact"/>
        <w:ind w:left="640" w:firstLine="640" w:firstLineChars="200"/>
        <w:rPr>
          <w:rFonts w:ascii="仿宋" w:hAnsi="仿宋" w:eastAsia="仿宋"/>
          <w:sz w:val="32"/>
          <w:szCs w:val="32"/>
        </w:rPr>
      </w:pPr>
      <w:r>
        <w:rPr>
          <w:rFonts w:ascii="仿宋" w:hAnsi="仿宋" w:eastAsia="仿宋"/>
          <w:sz w:val="32"/>
          <w:szCs w:val="32"/>
        </w:rPr>
        <w:t>一、收入支出决算总体情况说明</w:t>
      </w:r>
    </w:p>
    <w:p>
      <w:pPr>
        <w:widowControl/>
        <w:spacing w:line="580" w:lineRule="exact"/>
        <w:ind w:left="640" w:firstLine="640" w:firstLineChars="200"/>
        <w:rPr>
          <w:rFonts w:ascii="仿宋" w:hAnsi="仿宋" w:eastAsia="仿宋"/>
          <w:sz w:val="32"/>
          <w:szCs w:val="32"/>
        </w:rPr>
      </w:pPr>
      <w:r>
        <w:rPr>
          <w:rFonts w:ascii="仿宋" w:hAnsi="仿宋" w:eastAsia="仿宋"/>
          <w:sz w:val="32"/>
          <w:szCs w:val="32"/>
        </w:rPr>
        <w:t>二、收入决算情况说明</w:t>
      </w:r>
    </w:p>
    <w:p>
      <w:pPr>
        <w:widowControl/>
        <w:spacing w:line="580" w:lineRule="exact"/>
        <w:ind w:left="640" w:firstLine="640" w:firstLineChars="200"/>
        <w:rPr>
          <w:rFonts w:ascii="仿宋" w:hAnsi="仿宋" w:eastAsia="仿宋"/>
          <w:sz w:val="32"/>
          <w:szCs w:val="32"/>
        </w:rPr>
      </w:pPr>
      <w:r>
        <w:rPr>
          <w:rFonts w:ascii="仿宋" w:hAnsi="仿宋" w:eastAsia="仿宋"/>
          <w:sz w:val="32"/>
          <w:szCs w:val="32"/>
        </w:rPr>
        <w:t>三、支出决算情况说明</w:t>
      </w:r>
    </w:p>
    <w:p>
      <w:pPr>
        <w:widowControl/>
        <w:spacing w:line="580" w:lineRule="exact"/>
        <w:ind w:left="640" w:firstLine="640" w:firstLineChars="200"/>
        <w:rPr>
          <w:rFonts w:ascii="仿宋" w:hAnsi="仿宋" w:eastAsia="仿宋"/>
          <w:sz w:val="32"/>
          <w:szCs w:val="32"/>
        </w:rPr>
      </w:pPr>
      <w:r>
        <w:rPr>
          <w:rFonts w:ascii="仿宋" w:hAnsi="仿宋" w:eastAsia="仿宋"/>
          <w:sz w:val="32"/>
          <w:szCs w:val="32"/>
        </w:rPr>
        <w:t>四、财政拨款收入支出决算情况说明</w:t>
      </w:r>
    </w:p>
    <w:p>
      <w:pPr>
        <w:widowControl/>
        <w:spacing w:line="580" w:lineRule="exact"/>
        <w:ind w:left="640" w:firstLine="640" w:firstLineChars="200"/>
        <w:rPr>
          <w:rFonts w:ascii="仿宋" w:hAnsi="仿宋" w:eastAsia="仿宋"/>
          <w:sz w:val="32"/>
          <w:szCs w:val="32"/>
        </w:rPr>
      </w:pPr>
      <w:r>
        <w:rPr>
          <w:rFonts w:hint="eastAsia" w:ascii="仿宋" w:hAnsi="仿宋" w:eastAsia="仿宋"/>
          <w:sz w:val="32"/>
          <w:szCs w:val="32"/>
        </w:rPr>
        <w:t>五、一般公共预算财政拨款</w:t>
      </w:r>
      <w:r>
        <w:rPr>
          <w:rFonts w:ascii="仿宋" w:hAnsi="仿宋" w:eastAsia="仿宋"/>
          <w:sz w:val="32"/>
          <w:szCs w:val="32"/>
        </w:rPr>
        <w:t>“三公”经费支出决算情况说明</w:t>
      </w:r>
    </w:p>
    <w:p>
      <w:pPr>
        <w:widowControl/>
        <w:spacing w:line="580" w:lineRule="exact"/>
        <w:ind w:left="640" w:firstLine="640" w:firstLineChars="200"/>
        <w:rPr>
          <w:rFonts w:ascii="仿宋" w:hAnsi="仿宋" w:eastAsia="仿宋"/>
          <w:sz w:val="32"/>
          <w:szCs w:val="32"/>
        </w:rPr>
      </w:pPr>
      <w:r>
        <w:rPr>
          <w:rFonts w:hint="eastAsia" w:ascii="仿宋" w:hAnsi="仿宋" w:eastAsia="仿宋"/>
          <w:sz w:val="32"/>
          <w:szCs w:val="32"/>
        </w:rPr>
        <w:t>六</w:t>
      </w:r>
      <w:r>
        <w:rPr>
          <w:rFonts w:ascii="仿宋" w:hAnsi="仿宋" w:eastAsia="仿宋"/>
          <w:sz w:val="32"/>
          <w:szCs w:val="32"/>
        </w:rPr>
        <w:t>、预算绩效情况说明</w:t>
      </w:r>
    </w:p>
    <w:p>
      <w:pPr>
        <w:widowControl/>
        <w:spacing w:line="580" w:lineRule="exact"/>
        <w:ind w:left="640" w:firstLine="640" w:firstLineChars="200"/>
        <w:rPr>
          <w:rFonts w:ascii="仿宋" w:hAnsi="仿宋" w:eastAsia="仿宋"/>
          <w:sz w:val="32"/>
          <w:szCs w:val="32"/>
        </w:rPr>
      </w:pPr>
      <w:r>
        <w:rPr>
          <w:rFonts w:hint="eastAsia" w:ascii="仿宋" w:hAnsi="仿宋" w:eastAsia="仿宋"/>
          <w:sz w:val="32"/>
          <w:szCs w:val="32"/>
        </w:rPr>
        <w:t>七</w:t>
      </w:r>
      <w:r>
        <w:rPr>
          <w:rFonts w:ascii="仿宋" w:hAnsi="仿宋" w:eastAsia="仿宋"/>
          <w:sz w:val="32"/>
          <w:szCs w:val="32"/>
        </w:rPr>
        <w:t>、其他重要事项的说明</w:t>
      </w:r>
    </w:p>
    <w:p>
      <w:pPr>
        <w:widowControl/>
        <w:spacing w:line="580" w:lineRule="exact"/>
        <w:ind w:firstLine="640" w:firstLineChars="200"/>
        <w:rPr>
          <w:rFonts w:eastAsia="黑体"/>
          <w:sz w:val="32"/>
          <w:szCs w:val="32"/>
        </w:rPr>
      </w:pPr>
      <w:r>
        <w:rPr>
          <w:rFonts w:eastAsia="黑体"/>
          <w:sz w:val="32"/>
          <w:szCs w:val="32"/>
        </w:rPr>
        <w:t>第四部分名词解释</w:t>
      </w: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p>
    <w:p>
      <w:r>
        <w:br w:type="page"/>
      </w:r>
    </w:p>
    <w:p/>
    <w:p/>
    <w:p/>
    <w:p/>
    <w:p/>
    <w:p/>
    <w:p>
      <w:pPr>
        <w:widowControl/>
        <w:jc w:val="center"/>
        <w:rPr>
          <w:color w:val="000000" w:themeColor="text1"/>
          <w:sz w:val="72"/>
          <w:szCs w:val="72"/>
        </w:rPr>
      </w:pPr>
      <w:r>
        <w:rPr>
          <w:rFonts w:hint="eastAsia" w:hAnsi="宋体" w:asciiTheme="minorEastAsia" w:eastAsiaTheme="minorEastAsia"/>
          <w:color w:val="000000" w:themeColor="text1"/>
          <w:sz w:val="72"/>
          <w:szCs w:val="72"/>
        </w:rPr>
        <w:t>第一部分  部门概况</w:t>
      </w:r>
    </w:p>
    <w:p/>
    <w:p/>
    <w:p/>
    <w:p/>
    <w:p/>
    <w:p/>
    <w:p/>
    <w:p/>
    <w:p>
      <w:pPr>
        <w:pStyle w:val="2"/>
        <w:spacing w:before="0" w:after="0" w:line="600" w:lineRule="exact"/>
        <w:jc w:val="left"/>
        <w:rPr>
          <w:rFonts w:ascii="黑体" w:eastAsia="黑体" w:cs="黑体" w:hAnsiTheme="minorHAnsi"/>
          <w:b w:val="0"/>
          <w:bCs w:val="0"/>
          <w:kern w:val="0"/>
          <w:sz w:val="32"/>
          <w:szCs w:val="32"/>
        </w:rPr>
      </w:pPr>
      <w:r>
        <w:rPr>
          <w:rFonts w:hint="eastAsia" w:ascii="黑体" w:eastAsia="黑体" w:cs="黑体" w:hAnsiTheme="minorHAnsi"/>
          <w:b w:val="0"/>
          <w:bCs w:val="0"/>
          <w:kern w:val="0"/>
          <w:sz w:val="32"/>
          <w:szCs w:val="32"/>
        </w:rPr>
        <w:t>一、部门职责</w:t>
      </w:r>
    </w:p>
    <w:p>
      <w:pPr>
        <w:spacing w:after="0" w:line="560" w:lineRule="exact"/>
        <w:rPr>
          <w:rFonts w:ascii="仿宋" w:hAnsi="仿宋" w:eastAsia="仿宋" w:cs="ArialUnicodeMS"/>
          <w:kern w:val="0"/>
          <w:sz w:val="32"/>
          <w:szCs w:val="32"/>
        </w:rPr>
      </w:pPr>
      <w:r>
        <w:rPr>
          <w:rFonts w:hint="eastAsia" w:ascii="仿宋" w:hAnsi="仿宋" w:eastAsia="仿宋" w:cs="ArialUnicodeMS"/>
          <w:kern w:val="0"/>
          <w:sz w:val="32"/>
          <w:szCs w:val="32"/>
        </w:rPr>
        <w:t>（一）组织落实国家、省、市有关粮食流通的法规、政策；研究拟订全县粮食流通政策、制度，指导全县粮食流通</w:t>
      </w:r>
      <w:r>
        <w:rPr>
          <w:rFonts w:hint="eastAsia" w:ascii="仿宋" w:hAnsi="仿宋" w:eastAsia="仿宋" w:cs="ArialUnicodeMS"/>
          <w:kern w:val="0"/>
          <w:sz w:val="32"/>
          <w:szCs w:val="32"/>
          <w:lang w:eastAsia="zh-CN"/>
        </w:rPr>
        <w:t>体制改革</w:t>
      </w:r>
      <w:r>
        <w:rPr>
          <w:rFonts w:hint="eastAsia" w:ascii="仿宋" w:hAnsi="仿宋" w:eastAsia="仿宋" w:cs="ArialUnicodeMS"/>
          <w:kern w:val="0"/>
          <w:sz w:val="32"/>
          <w:szCs w:val="32"/>
        </w:rPr>
        <w:t>。</w:t>
      </w:r>
    </w:p>
    <w:p>
      <w:pPr>
        <w:spacing w:after="0" w:line="560" w:lineRule="exact"/>
        <w:rPr>
          <w:rFonts w:ascii="仿宋" w:hAnsi="仿宋" w:eastAsia="仿宋" w:cs="ArialUnicodeMS"/>
          <w:kern w:val="0"/>
          <w:sz w:val="32"/>
          <w:szCs w:val="32"/>
        </w:rPr>
      </w:pPr>
      <w:r>
        <w:rPr>
          <w:rFonts w:hint="eastAsia" w:ascii="仿宋" w:hAnsi="仿宋" w:eastAsia="仿宋" w:cs="ArialUnicodeMS"/>
          <w:kern w:val="0"/>
          <w:sz w:val="32"/>
          <w:szCs w:val="32"/>
        </w:rPr>
        <w:t>（二）拟定全县粮食流通发展规划和年度计划；拟定全县粮食总量和品种平衡计划，指导协调全县粮食总量和品种平衡，制定全县粮食流通产业结构调整和布局调整实施意见。</w:t>
      </w:r>
    </w:p>
    <w:p>
      <w:pPr>
        <w:spacing w:after="0" w:line="560" w:lineRule="exact"/>
        <w:rPr>
          <w:rFonts w:ascii="仿宋" w:hAnsi="仿宋" w:eastAsia="仿宋" w:cs="ArialUnicodeMS"/>
          <w:kern w:val="0"/>
          <w:sz w:val="32"/>
          <w:szCs w:val="32"/>
        </w:rPr>
      </w:pPr>
      <w:r>
        <w:rPr>
          <w:rFonts w:hint="eastAsia" w:ascii="仿宋" w:hAnsi="仿宋" w:eastAsia="仿宋" w:cs="ArialUnicodeMS"/>
          <w:kern w:val="0"/>
          <w:sz w:val="32"/>
          <w:szCs w:val="32"/>
        </w:rPr>
        <w:t>（三）组织协调全县粮食收购工作，掌握粮源；贯彻《粮食收购条例》，组织指导全县粮食市场供应，保障军工民需及灾区、缺粮地区粮食供应。</w:t>
      </w:r>
    </w:p>
    <w:p>
      <w:pPr>
        <w:spacing w:after="0" w:line="560" w:lineRule="exact"/>
        <w:rPr>
          <w:rFonts w:ascii="仿宋" w:hAnsi="仿宋" w:eastAsia="仿宋" w:cs="ArialUnicodeMS"/>
          <w:kern w:val="0"/>
          <w:sz w:val="32"/>
          <w:szCs w:val="32"/>
        </w:rPr>
      </w:pPr>
      <w:r>
        <w:rPr>
          <w:rFonts w:hint="eastAsia" w:ascii="仿宋" w:hAnsi="仿宋" w:eastAsia="仿宋" w:cs="ArialUnicodeMS"/>
          <w:kern w:val="0"/>
          <w:sz w:val="32"/>
          <w:szCs w:val="32"/>
        </w:rPr>
        <w:t>（四）建立和完善县级粮食储备制度，研究提出全县储备规模和吞吐计划，报经县政府同意后组织落实；管理国家、省委托代管的中央、省储备粮；指导全县粮食储备和农村粮食存储工作。</w:t>
      </w:r>
    </w:p>
    <w:p>
      <w:pPr>
        <w:spacing w:after="0" w:line="560" w:lineRule="exact"/>
        <w:rPr>
          <w:rFonts w:ascii="仿宋" w:hAnsi="仿宋" w:eastAsia="仿宋" w:cs="ArialUnicodeMS"/>
          <w:kern w:val="0"/>
          <w:sz w:val="32"/>
          <w:szCs w:val="32"/>
        </w:rPr>
      </w:pPr>
      <w:r>
        <w:rPr>
          <w:rFonts w:hint="eastAsia" w:ascii="仿宋" w:hAnsi="仿宋" w:eastAsia="仿宋" w:cs="ArialUnicodeMS"/>
          <w:kern w:val="0"/>
          <w:sz w:val="32"/>
          <w:szCs w:val="32"/>
        </w:rPr>
        <w:t>（五）培育和完善粮食市场体系，制定全县粮食批发市场市场建设发展规划和管理办法；按有关规定管理粮食市场，维护粮食流通秩序。</w:t>
      </w:r>
    </w:p>
    <w:p>
      <w:pPr>
        <w:spacing w:after="0" w:line="560" w:lineRule="exact"/>
        <w:rPr>
          <w:rFonts w:ascii="仿宋" w:hAnsi="仿宋" w:eastAsia="仿宋" w:cs="ArialUnicodeMS"/>
          <w:kern w:val="0"/>
          <w:sz w:val="32"/>
          <w:szCs w:val="32"/>
        </w:rPr>
      </w:pPr>
      <w:r>
        <w:rPr>
          <w:rFonts w:hint="eastAsia" w:ascii="仿宋" w:hAnsi="仿宋" w:eastAsia="仿宋" w:cs="ArialUnicodeMS"/>
          <w:kern w:val="0"/>
          <w:sz w:val="32"/>
          <w:szCs w:val="32"/>
        </w:rPr>
        <w:t>（六）根据有关法律、法规，对社会粮食流通进行行政执法；监督检查有关粮食法律、法规执行情况，依法实施行政处罚，受理行政复议，指导本系统执法工作。</w:t>
      </w:r>
    </w:p>
    <w:p>
      <w:pPr>
        <w:spacing w:after="0" w:line="560" w:lineRule="exact"/>
        <w:rPr>
          <w:rFonts w:ascii="仿宋" w:hAnsi="仿宋" w:eastAsia="仿宋" w:cs="ArialUnicodeMS"/>
          <w:kern w:val="0"/>
          <w:sz w:val="32"/>
          <w:szCs w:val="32"/>
        </w:rPr>
      </w:pPr>
      <w:r>
        <w:rPr>
          <w:rFonts w:hint="eastAsia" w:ascii="仿宋" w:hAnsi="仿宋" w:eastAsia="仿宋" w:cs="ArialUnicodeMS"/>
          <w:kern w:val="0"/>
          <w:sz w:val="32"/>
          <w:szCs w:val="32"/>
        </w:rPr>
        <w:t>（七）协助有关部门建立和管理粮食风险基金；制定和落实消化新老财务挂账措施，协助有关部门监督管理粮食收购资金。</w:t>
      </w:r>
    </w:p>
    <w:p>
      <w:pPr>
        <w:spacing w:after="0" w:line="560" w:lineRule="exact"/>
        <w:rPr>
          <w:rFonts w:ascii="仿宋" w:hAnsi="仿宋" w:eastAsia="仿宋" w:cs="ArialUnicodeMS"/>
          <w:kern w:val="0"/>
          <w:sz w:val="32"/>
          <w:szCs w:val="32"/>
        </w:rPr>
      </w:pPr>
      <w:r>
        <w:rPr>
          <w:rFonts w:hint="eastAsia" w:ascii="仿宋" w:hAnsi="仿宋" w:eastAsia="仿宋" w:cs="ArialUnicodeMS"/>
          <w:kern w:val="0"/>
          <w:sz w:val="32"/>
          <w:szCs w:val="32"/>
        </w:rPr>
        <w:t>（八）负责全县粮食流通设施建设规划布局，落实国家、省、市县粮食流通设施建设投资，组织实施工程建设。</w:t>
      </w:r>
    </w:p>
    <w:p>
      <w:pPr>
        <w:spacing w:after="0" w:line="560" w:lineRule="exact"/>
        <w:rPr>
          <w:rFonts w:ascii="仿宋" w:hAnsi="仿宋" w:eastAsia="仿宋" w:cs="ArialUnicodeMS"/>
          <w:kern w:val="0"/>
          <w:sz w:val="32"/>
          <w:szCs w:val="32"/>
        </w:rPr>
      </w:pPr>
      <w:r>
        <w:rPr>
          <w:rFonts w:hint="eastAsia" w:ascii="仿宋" w:hAnsi="仿宋" w:eastAsia="仿宋" w:cs="ArialUnicodeMS"/>
          <w:kern w:val="0"/>
          <w:sz w:val="32"/>
          <w:szCs w:val="32"/>
        </w:rPr>
        <w:t>（九）负责指导全县粮食储存安全管理；执行粮食质量标准，落实粮食检验政策、制度和办法。</w:t>
      </w:r>
    </w:p>
    <w:p>
      <w:pPr>
        <w:spacing w:after="0" w:line="560" w:lineRule="exact"/>
        <w:rPr>
          <w:rFonts w:ascii="仿宋" w:hAnsi="仿宋" w:eastAsia="仿宋" w:cs="ArialUnicodeMS"/>
          <w:kern w:val="0"/>
          <w:sz w:val="32"/>
          <w:szCs w:val="32"/>
        </w:rPr>
      </w:pPr>
      <w:r>
        <w:rPr>
          <w:rFonts w:hint="eastAsia" w:ascii="仿宋" w:hAnsi="仿宋" w:eastAsia="仿宋" w:cs="ArialUnicodeMS"/>
          <w:kern w:val="0"/>
          <w:sz w:val="32"/>
          <w:szCs w:val="32"/>
        </w:rPr>
        <w:t>（十）负责全县粮食流通行业管理；推动全县粮食流通行业技术改造和新技术推广，负责全行业对外交流与合作；制定全县粮食系统粮油、饲料、食品等工业发展规划和布局指导全县粮食企业搞好改革、发展、稳定工作。</w:t>
      </w:r>
    </w:p>
    <w:p>
      <w:pPr>
        <w:spacing w:after="0" w:line="560" w:lineRule="exact"/>
        <w:rPr>
          <w:rFonts w:ascii="仿宋" w:hAnsi="仿宋" w:eastAsia="仿宋" w:cs="ArialUnicodeMS"/>
          <w:kern w:val="0"/>
          <w:sz w:val="32"/>
          <w:szCs w:val="32"/>
        </w:rPr>
      </w:pPr>
      <w:r>
        <w:rPr>
          <w:rFonts w:hint="eastAsia" w:ascii="仿宋" w:hAnsi="仿宋" w:eastAsia="仿宋" w:cs="ArialUnicodeMS"/>
          <w:kern w:val="0"/>
          <w:sz w:val="32"/>
          <w:szCs w:val="32"/>
        </w:rPr>
        <w:t>（十一）管理机关财务和下属单位国有资产；负责全县粮食系统财务内部审计工作；负责全县粮食系统业务统计和机构编制、人员工资统计工作；负责全县粮食系统职工教育培训工作。</w:t>
      </w:r>
    </w:p>
    <w:p>
      <w:pPr>
        <w:spacing w:after="0" w:line="560" w:lineRule="exact"/>
        <w:rPr>
          <w:rFonts w:ascii="仿宋" w:hAnsi="仿宋" w:eastAsia="仿宋" w:cs="ArialUnicodeMS"/>
          <w:kern w:val="0"/>
          <w:sz w:val="32"/>
          <w:szCs w:val="32"/>
        </w:rPr>
      </w:pPr>
      <w:r>
        <w:rPr>
          <w:rFonts w:hint="eastAsia" w:ascii="仿宋" w:hAnsi="仿宋" w:eastAsia="仿宋" w:cs="ArialUnicodeMS"/>
          <w:kern w:val="0"/>
          <w:sz w:val="32"/>
          <w:szCs w:val="32"/>
        </w:rPr>
        <w:t>(十二）承办县政府交办的其他事项。</w:t>
      </w:r>
    </w:p>
    <w:p>
      <w:pPr>
        <w:pStyle w:val="2"/>
        <w:spacing w:before="0" w:after="0" w:line="600" w:lineRule="exact"/>
        <w:jc w:val="left"/>
        <w:rPr>
          <w:rFonts w:ascii="黑体" w:eastAsia="黑体" w:cs="黑体" w:hAnsiTheme="minorHAnsi"/>
          <w:b w:val="0"/>
          <w:bCs w:val="0"/>
          <w:kern w:val="0"/>
          <w:sz w:val="32"/>
          <w:szCs w:val="32"/>
        </w:rPr>
      </w:pPr>
      <w:r>
        <w:rPr>
          <w:rFonts w:hint="eastAsia" w:ascii="黑体" w:eastAsia="黑体" w:cs="黑体" w:hAnsiTheme="minorHAnsi"/>
          <w:b w:val="0"/>
          <w:bCs w:val="0"/>
          <w:kern w:val="0"/>
          <w:sz w:val="32"/>
          <w:szCs w:val="32"/>
        </w:rPr>
        <w:t>二、机构设置</w:t>
      </w:r>
    </w:p>
    <w:p>
      <w:pPr>
        <w:spacing w:after="0" w:line="560" w:lineRule="exact"/>
        <w:rPr>
          <w:rFonts w:ascii="仿宋" w:hAnsi="仿宋" w:eastAsia="仿宋" w:cs="ArialUnicodeMS"/>
          <w:kern w:val="0"/>
          <w:sz w:val="32"/>
          <w:szCs w:val="32"/>
        </w:rPr>
      </w:pPr>
      <w:r>
        <w:rPr>
          <w:rFonts w:hint="eastAsia" w:ascii="仿宋" w:hAnsi="仿宋" w:eastAsia="仿宋" w:cs="ArialUnicodeMS"/>
          <w:kern w:val="0"/>
          <w:sz w:val="32"/>
          <w:szCs w:val="32"/>
        </w:rPr>
        <w:t>从决算编报单位构成看，纳入2018 年度本部门决算汇编范围的独立核算单位（以下简称“单位”）共</w:t>
      </w:r>
      <w:r>
        <w:rPr>
          <w:rFonts w:ascii="仿宋" w:hAnsi="仿宋" w:eastAsia="仿宋" w:cs="ArialUnicodeMS"/>
          <w:kern w:val="0"/>
          <w:sz w:val="32"/>
          <w:szCs w:val="32"/>
        </w:rPr>
        <w:t>1</w:t>
      </w:r>
      <w:r>
        <w:rPr>
          <w:rFonts w:hint="eastAsia" w:ascii="仿宋" w:hAnsi="仿宋" w:eastAsia="仿宋" w:cs="ArialUnicodeMS"/>
          <w:kern w:val="0"/>
          <w:sz w:val="32"/>
          <w:szCs w:val="32"/>
        </w:rPr>
        <w:t>个，具体情况如下：</w:t>
      </w:r>
    </w:p>
    <w:p>
      <w:pPr>
        <w:spacing w:after="0" w:line="560" w:lineRule="exact"/>
        <w:rPr>
          <w:rFonts w:ascii="仿宋_GB2312" w:eastAsia="仿宋_GB2312" w:cs="ArialUnicodeMS" w:hAnsiTheme="minorHAnsi"/>
          <w:kern w:val="0"/>
          <w:sz w:val="32"/>
          <w:szCs w:val="32"/>
        </w:rPr>
      </w:pPr>
    </w:p>
    <w:tbl>
      <w:tblPr>
        <w:tblStyle w:val="13"/>
        <w:tblpPr w:leftFromText="180" w:rightFromText="180" w:vertAnchor="text" w:horzAnchor="page" w:tblpXSpec="center" w:tblpY="10"/>
        <w:tblOverlap w:val="never"/>
        <w:tblW w:w="95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5"/>
        <w:gridCol w:w="3485"/>
        <w:gridCol w:w="2445"/>
        <w:gridCol w:w="26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1" w:hRule="atLeast"/>
          <w:jc w:val="center"/>
        </w:trPr>
        <w:tc>
          <w:tcPr>
            <w:tcW w:w="985" w:type="dxa"/>
            <w:vAlign w:val="center"/>
          </w:tcPr>
          <w:p>
            <w:pPr>
              <w:spacing w:after="0" w:line="560" w:lineRule="exact"/>
              <w:jc w:val="center"/>
              <w:rPr>
                <w:rFonts w:ascii="仿宋_GB2312" w:eastAsia="仿宋_GB2312" w:cs="ArialUnicodeMS" w:hAnsiTheme="minorHAnsi"/>
                <w:b/>
                <w:bCs/>
                <w:kern w:val="0"/>
                <w:sz w:val="28"/>
                <w:szCs w:val="28"/>
              </w:rPr>
            </w:pPr>
            <w:r>
              <w:rPr>
                <w:rFonts w:hint="eastAsia" w:ascii="仿宋_GB2312" w:eastAsia="仿宋_GB2312" w:cs="ArialUnicodeMS" w:hAnsiTheme="minorHAnsi"/>
                <w:b/>
                <w:bCs/>
                <w:kern w:val="0"/>
                <w:sz w:val="28"/>
                <w:szCs w:val="28"/>
              </w:rPr>
              <w:t>序号</w:t>
            </w:r>
          </w:p>
        </w:tc>
        <w:tc>
          <w:tcPr>
            <w:tcW w:w="3485" w:type="dxa"/>
            <w:vAlign w:val="center"/>
          </w:tcPr>
          <w:p>
            <w:pPr>
              <w:spacing w:after="0" w:line="560" w:lineRule="exact"/>
              <w:jc w:val="center"/>
              <w:rPr>
                <w:rFonts w:ascii="仿宋_GB2312" w:eastAsia="仿宋_GB2312" w:cs="ArialUnicodeMS" w:hAnsiTheme="minorHAnsi"/>
                <w:b/>
                <w:bCs/>
                <w:kern w:val="0"/>
                <w:sz w:val="28"/>
                <w:szCs w:val="28"/>
              </w:rPr>
            </w:pPr>
            <w:r>
              <w:rPr>
                <w:rFonts w:hint="eastAsia" w:ascii="仿宋_GB2312" w:eastAsia="仿宋_GB2312" w:cs="ArialUnicodeMS" w:hAnsiTheme="minorHAnsi"/>
                <w:b/>
                <w:bCs/>
                <w:kern w:val="0"/>
                <w:sz w:val="28"/>
                <w:szCs w:val="28"/>
              </w:rPr>
              <w:t>单位名称</w:t>
            </w:r>
          </w:p>
        </w:tc>
        <w:tc>
          <w:tcPr>
            <w:tcW w:w="2445" w:type="dxa"/>
            <w:vAlign w:val="center"/>
          </w:tcPr>
          <w:p>
            <w:pPr>
              <w:spacing w:after="0" w:line="560" w:lineRule="exact"/>
              <w:jc w:val="center"/>
              <w:rPr>
                <w:rFonts w:ascii="仿宋_GB2312" w:eastAsia="仿宋_GB2312" w:cs="ArialUnicodeMS" w:hAnsiTheme="minorHAnsi"/>
                <w:b/>
                <w:bCs/>
                <w:kern w:val="0"/>
                <w:sz w:val="28"/>
                <w:szCs w:val="28"/>
              </w:rPr>
            </w:pPr>
            <w:r>
              <w:rPr>
                <w:rFonts w:hint="eastAsia" w:ascii="仿宋_GB2312" w:eastAsia="仿宋_GB2312" w:cs="ArialUnicodeMS" w:hAnsiTheme="minorHAnsi"/>
                <w:b/>
                <w:bCs/>
                <w:kern w:val="0"/>
                <w:sz w:val="28"/>
                <w:szCs w:val="28"/>
              </w:rPr>
              <w:t>单位基本性质</w:t>
            </w:r>
          </w:p>
        </w:tc>
        <w:tc>
          <w:tcPr>
            <w:tcW w:w="2665" w:type="dxa"/>
            <w:vAlign w:val="center"/>
          </w:tcPr>
          <w:p>
            <w:pPr>
              <w:spacing w:after="0" w:line="560" w:lineRule="exact"/>
              <w:jc w:val="center"/>
              <w:rPr>
                <w:rFonts w:ascii="仿宋_GB2312" w:eastAsia="仿宋_GB2312" w:cs="ArialUnicodeMS" w:hAnsiTheme="minorHAnsi"/>
                <w:b/>
                <w:bCs/>
                <w:kern w:val="0"/>
                <w:sz w:val="28"/>
                <w:szCs w:val="28"/>
              </w:rPr>
            </w:pPr>
            <w:r>
              <w:rPr>
                <w:rFonts w:hint="eastAsia" w:ascii="仿宋_GB2312" w:eastAsia="仿宋_GB2312" w:cs="ArialUnicodeMS" w:hAnsiTheme="minorHAnsi"/>
                <w:b/>
                <w:bCs/>
                <w:kern w:val="0"/>
                <w:sz w:val="28"/>
                <w:szCs w:val="28"/>
              </w:rPr>
              <w:t>经费形式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985" w:type="dxa"/>
          </w:tcPr>
          <w:p>
            <w:pPr>
              <w:spacing w:after="0" w:line="560" w:lineRule="exact"/>
              <w:jc w:val="center"/>
              <w:rPr>
                <w:rFonts w:ascii="仿宋" w:hAnsi="仿宋" w:eastAsia="仿宋" w:cs="ArialUnicodeMS"/>
                <w:kern w:val="0"/>
                <w:sz w:val="32"/>
                <w:szCs w:val="32"/>
              </w:rPr>
            </w:pPr>
            <w:r>
              <w:rPr>
                <w:rFonts w:hint="eastAsia" w:ascii="仿宋" w:hAnsi="仿宋" w:eastAsia="仿宋" w:cs="ArialUnicodeMS"/>
                <w:kern w:val="0"/>
                <w:sz w:val="32"/>
                <w:szCs w:val="32"/>
              </w:rPr>
              <w:t>1</w:t>
            </w:r>
          </w:p>
        </w:tc>
        <w:tc>
          <w:tcPr>
            <w:tcW w:w="3485" w:type="dxa"/>
          </w:tcPr>
          <w:p>
            <w:pPr>
              <w:spacing w:after="0" w:line="560" w:lineRule="exact"/>
              <w:rPr>
                <w:rFonts w:ascii="仿宋" w:hAnsi="仿宋" w:eastAsia="仿宋" w:cs="ArialUnicodeMS"/>
                <w:kern w:val="0"/>
                <w:sz w:val="32"/>
                <w:szCs w:val="32"/>
              </w:rPr>
            </w:pPr>
            <w:r>
              <w:rPr>
                <w:rFonts w:hint="eastAsia" w:ascii="仿宋" w:hAnsi="仿宋" w:eastAsia="仿宋" w:cs="ArialUnicodeMS"/>
                <w:kern w:val="0"/>
                <w:sz w:val="32"/>
                <w:szCs w:val="32"/>
              </w:rPr>
              <w:t>文安县</w:t>
            </w:r>
            <w:r>
              <w:rPr>
                <w:rFonts w:hint="eastAsia" w:ascii="仿宋" w:hAnsi="仿宋" w:eastAsia="仿宋" w:cs="微软雅黑"/>
                <w:kern w:val="0"/>
                <w:sz w:val="32"/>
                <w:szCs w:val="32"/>
              </w:rPr>
              <w:t>粮食局</w:t>
            </w:r>
            <w:r>
              <w:rPr>
                <w:rFonts w:hint="eastAsia" w:ascii="仿宋" w:hAnsi="仿宋" w:eastAsia="仿宋" w:cs="ArialUnicodeMS"/>
                <w:kern w:val="0"/>
                <w:sz w:val="32"/>
                <w:szCs w:val="32"/>
              </w:rPr>
              <w:t>(本级)</w:t>
            </w:r>
          </w:p>
        </w:tc>
        <w:tc>
          <w:tcPr>
            <w:tcW w:w="2445" w:type="dxa"/>
          </w:tcPr>
          <w:p>
            <w:pPr>
              <w:spacing w:after="0" w:line="560" w:lineRule="exact"/>
              <w:jc w:val="center"/>
              <w:rPr>
                <w:rFonts w:ascii="仿宋" w:hAnsi="仿宋" w:eastAsia="仿宋" w:cs="ArialUnicodeMS"/>
                <w:kern w:val="0"/>
                <w:sz w:val="32"/>
                <w:szCs w:val="32"/>
              </w:rPr>
            </w:pPr>
            <w:r>
              <w:rPr>
                <w:rFonts w:hint="eastAsia" w:ascii="仿宋" w:hAnsi="仿宋" w:eastAsia="仿宋" w:cs="ArialUnicodeMS"/>
                <w:kern w:val="0"/>
                <w:sz w:val="32"/>
                <w:szCs w:val="32"/>
              </w:rPr>
              <w:t>事业</w:t>
            </w:r>
          </w:p>
        </w:tc>
        <w:tc>
          <w:tcPr>
            <w:tcW w:w="2665" w:type="dxa"/>
          </w:tcPr>
          <w:p>
            <w:pPr>
              <w:spacing w:after="0" w:line="560" w:lineRule="exact"/>
              <w:jc w:val="center"/>
              <w:rPr>
                <w:rFonts w:ascii="仿宋" w:hAnsi="仿宋" w:eastAsia="仿宋" w:cs="ArialUnicodeMS"/>
                <w:kern w:val="0"/>
                <w:sz w:val="32"/>
                <w:szCs w:val="32"/>
              </w:rPr>
            </w:pPr>
            <w:r>
              <w:rPr>
                <w:rFonts w:hint="eastAsia" w:ascii="仿宋" w:hAnsi="仿宋" w:eastAsia="仿宋" w:cs="ArialUnicodeMS"/>
                <w:kern w:val="0"/>
                <w:sz w:val="32"/>
                <w:szCs w:val="32"/>
              </w:rPr>
              <w:t>财政拨款</w:t>
            </w:r>
          </w:p>
        </w:tc>
      </w:tr>
    </w:tbl>
    <w:p>
      <w:pPr>
        <w:widowControl/>
        <w:spacing w:line="560" w:lineRule="exact"/>
        <w:rPr>
          <w:rFonts w:ascii="黑体" w:eastAsia="黑体" w:cs="MS-UIGothic,Bold" w:hAnsiTheme="minorHAnsi"/>
          <w:bCs/>
          <w:kern w:val="0"/>
          <w:sz w:val="52"/>
          <w:szCs w:val="52"/>
        </w:rPr>
      </w:pPr>
    </w:p>
    <w:p>
      <w:pPr>
        <w:widowControl/>
        <w:spacing w:line="560" w:lineRule="exact"/>
        <w:jc w:val="center"/>
        <w:rPr>
          <w:rFonts w:ascii="黑体" w:eastAsia="黑体" w:cs="MS-UIGothic,Bold" w:hAnsiTheme="minorHAnsi"/>
          <w:bCs/>
          <w:kern w:val="0"/>
          <w:sz w:val="52"/>
          <w:szCs w:val="52"/>
        </w:rPr>
        <w:sectPr>
          <w:pgSz w:w="11906" w:h="16838"/>
          <w:pgMar w:top="1984" w:right="1588" w:bottom="2098" w:left="1474" w:header="851" w:footer="992" w:gutter="0"/>
          <w:cols w:space="0" w:num="1"/>
          <w:docGrid w:type="lines" w:linePitch="312" w:charSpace="0"/>
        </w:sectPr>
      </w:pPr>
    </w:p>
    <w:p>
      <w:pPr>
        <w:widowControl/>
        <w:spacing w:line="1200" w:lineRule="exact"/>
        <w:jc w:val="center"/>
        <w:rPr>
          <w:rFonts w:hAnsi="宋体" w:asciiTheme="minorEastAsia" w:eastAsiaTheme="minorEastAsia"/>
          <w:color w:val="000000" w:themeColor="text1"/>
          <w:sz w:val="72"/>
          <w:szCs w:val="96"/>
        </w:rPr>
      </w:pPr>
    </w:p>
    <w:p>
      <w:pPr>
        <w:widowControl/>
        <w:spacing w:line="1200" w:lineRule="exact"/>
        <w:jc w:val="center"/>
        <w:rPr>
          <w:rFonts w:hAnsi="宋体" w:asciiTheme="minorEastAsia" w:eastAsiaTheme="minorEastAsia"/>
          <w:color w:val="000000" w:themeColor="text1"/>
          <w:sz w:val="72"/>
          <w:szCs w:val="96"/>
        </w:rPr>
      </w:pPr>
    </w:p>
    <w:p>
      <w:pPr>
        <w:widowControl/>
        <w:spacing w:line="1200" w:lineRule="exact"/>
        <w:jc w:val="center"/>
        <w:rPr>
          <w:rFonts w:hAnsi="宋体" w:asciiTheme="minorEastAsia" w:eastAsiaTheme="minorEastAsia"/>
          <w:color w:val="000000" w:themeColor="text1"/>
          <w:sz w:val="72"/>
          <w:szCs w:val="96"/>
        </w:rPr>
      </w:pPr>
    </w:p>
    <w:p>
      <w:pPr>
        <w:widowControl/>
        <w:spacing w:line="1200" w:lineRule="exact"/>
        <w:jc w:val="center"/>
        <w:rPr>
          <w:rFonts w:hAnsi="宋体" w:asciiTheme="minorEastAsia" w:eastAsiaTheme="minorEastAsia"/>
          <w:color w:val="000000" w:themeColor="text1"/>
          <w:sz w:val="72"/>
          <w:szCs w:val="72"/>
        </w:rPr>
      </w:pPr>
      <w:r>
        <w:rPr>
          <w:rFonts w:hint="eastAsia" w:hAnsi="宋体" w:asciiTheme="minorEastAsia" w:eastAsiaTheme="minorEastAsia"/>
          <w:color w:val="000000" w:themeColor="text1"/>
          <w:sz w:val="72"/>
          <w:szCs w:val="72"/>
        </w:rPr>
        <w:t>第二部分</w:t>
      </w:r>
    </w:p>
    <w:p>
      <w:pPr>
        <w:widowControl/>
        <w:spacing w:line="1200" w:lineRule="exact"/>
        <w:jc w:val="center"/>
        <w:rPr>
          <w:color w:val="000000" w:themeColor="text1"/>
          <w:sz w:val="72"/>
          <w:szCs w:val="72"/>
        </w:rPr>
      </w:pPr>
      <w:r>
        <w:rPr>
          <w:rFonts w:hint="eastAsia" w:hAnsi="宋体" w:asciiTheme="minorEastAsia" w:eastAsiaTheme="minorEastAsia"/>
          <w:color w:val="000000" w:themeColor="text1"/>
          <w:sz w:val="72"/>
          <w:szCs w:val="72"/>
        </w:rPr>
        <w:t>2018年度部门决算报表</w:t>
      </w:r>
    </w:p>
    <w:p>
      <w:pPr>
        <w:widowControl/>
        <w:spacing w:line="560" w:lineRule="exact"/>
        <w:jc w:val="center"/>
        <w:rPr>
          <w:rFonts w:ascii="黑体" w:eastAsia="黑体" w:cs="MS-UIGothic,Bold" w:hAnsiTheme="minorHAnsi"/>
          <w:bCs/>
          <w:kern w:val="0"/>
          <w:sz w:val="52"/>
          <w:szCs w:val="52"/>
        </w:rPr>
      </w:pPr>
    </w:p>
    <w:p>
      <w:pPr>
        <w:widowControl/>
        <w:spacing w:line="560" w:lineRule="exact"/>
        <w:jc w:val="center"/>
        <w:rPr>
          <w:rFonts w:ascii="黑体" w:eastAsia="黑体" w:cs="MS-UIGothic,Bold" w:hAnsiTheme="minorHAnsi"/>
          <w:bCs/>
          <w:kern w:val="0"/>
          <w:sz w:val="52"/>
          <w:szCs w:val="52"/>
        </w:rPr>
      </w:pPr>
    </w:p>
    <w:p>
      <w:pPr>
        <w:rPr>
          <w:rFonts w:ascii="宋体" w:hAnsi="宋体" w:cs="ArialUnicodeMS"/>
          <w:color w:val="000000"/>
          <w:kern w:val="0"/>
        </w:rPr>
      </w:pPr>
    </w:p>
    <w:p>
      <w:pPr>
        <w:rPr>
          <w:rFonts w:ascii="宋体" w:hAnsi="宋体" w:cs="ArialUnicodeMS"/>
          <w:color w:val="000000"/>
          <w:kern w:val="0"/>
        </w:rPr>
        <w:sectPr>
          <w:pgSz w:w="11906" w:h="16838"/>
          <w:pgMar w:top="2098" w:right="1474" w:bottom="1984" w:left="1588" w:header="851" w:footer="992" w:gutter="0"/>
          <w:cols w:space="0" w:num="1"/>
          <w:docGrid w:type="lines" w:linePitch="312" w:charSpace="0"/>
        </w:sectPr>
      </w:pPr>
    </w:p>
    <w:p>
      <w:pPr>
        <w:spacing w:after="0" w:line="560" w:lineRule="exact"/>
        <w:ind w:firstLine="640" w:firstLineChars="200"/>
        <w:rPr>
          <w:rFonts w:ascii="仿宋" w:hAnsi="仿宋" w:eastAsia="仿宋" w:cs="ArialUnicodeMS"/>
          <w:kern w:val="0"/>
          <w:sz w:val="32"/>
          <w:szCs w:val="32"/>
        </w:rPr>
      </w:pPr>
      <w:r>
        <w:rPr>
          <w:rFonts w:hint="eastAsia" w:ascii="仿宋" w:hAnsi="仿宋" w:eastAsia="仿宋" w:cs="ArialUnicodeMS"/>
          <w:kern w:val="0"/>
          <w:sz w:val="32"/>
          <w:szCs w:val="32"/>
        </w:rPr>
        <w:t>根据2018年决算公开要求，现对2018年度部门决算报表予以公开，详见附件报表。</w:t>
      </w:r>
    </w:p>
    <w:p/>
    <w:p/>
    <w:p/>
    <w:p/>
    <w:p>
      <w:pPr>
        <w:tabs>
          <w:tab w:val="left" w:pos="1086"/>
        </w:tabs>
        <w:jc w:val="left"/>
        <w:rPr>
          <w:rFonts w:ascii="仿宋_GB2312" w:eastAsia="仿宋_GB2312" w:hAnsiTheme="majorEastAsia"/>
          <w:b/>
          <w:sz w:val="28"/>
          <w:szCs w:val="28"/>
          <w:highlight w:val="yellow"/>
        </w:rPr>
        <w:sectPr>
          <w:pgSz w:w="11906" w:h="16838"/>
          <w:pgMar w:top="2098" w:right="1474" w:bottom="1984" w:left="1588" w:header="851" w:footer="992" w:gutter="0"/>
          <w:cols w:space="0" w:num="1"/>
          <w:docGrid w:type="lines" w:linePitch="312" w:charSpace="0"/>
        </w:sectPr>
      </w:pPr>
      <w:r>
        <w:rPr>
          <w:rFonts w:hint="eastAsia"/>
        </w:rPr>
        <w:tab/>
      </w:r>
    </w:p>
    <w:p>
      <w:pPr>
        <w:widowControl/>
        <w:spacing w:line="1200" w:lineRule="exact"/>
        <w:jc w:val="center"/>
        <w:rPr>
          <w:rFonts w:hAnsi="宋体" w:asciiTheme="minorEastAsia" w:eastAsiaTheme="minorEastAsia"/>
          <w:color w:val="000000" w:themeColor="text1"/>
          <w:sz w:val="96"/>
          <w:szCs w:val="96"/>
        </w:rPr>
      </w:pPr>
    </w:p>
    <w:p>
      <w:pPr>
        <w:widowControl/>
        <w:spacing w:line="1200" w:lineRule="exact"/>
        <w:jc w:val="center"/>
        <w:rPr>
          <w:rFonts w:hAnsi="宋体" w:asciiTheme="minorEastAsia" w:eastAsiaTheme="minorEastAsia"/>
          <w:color w:val="000000" w:themeColor="text1"/>
          <w:sz w:val="96"/>
          <w:szCs w:val="96"/>
        </w:rPr>
      </w:pPr>
    </w:p>
    <w:p>
      <w:pPr>
        <w:widowControl/>
        <w:spacing w:line="1200" w:lineRule="exact"/>
        <w:jc w:val="center"/>
        <w:rPr>
          <w:rFonts w:hAnsi="宋体" w:asciiTheme="minorEastAsia" w:eastAsiaTheme="minorEastAsia"/>
          <w:color w:val="000000" w:themeColor="text1"/>
          <w:sz w:val="96"/>
          <w:szCs w:val="96"/>
        </w:rPr>
      </w:pPr>
    </w:p>
    <w:p>
      <w:pPr>
        <w:widowControl/>
        <w:spacing w:line="1200" w:lineRule="exact"/>
        <w:jc w:val="center"/>
        <w:rPr>
          <w:rFonts w:hAnsi="宋体" w:asciiTheme="minorEastAsia" w:eastAsiaTheme="minorEastAsia"/>
          <w:color w:val="000000" w:themeColor="text1"/>
          <w:sz w:val="72"/>
          <w:szCs w:val="72"/>
        </w:rPr>
      </w:pPr>
      <w:r>
        <w:rPr>
          <w:rFonts w:hint="eastAsia" w:hAnsi="宋体" w:asciiTheme="minorEastAsia" w:eastAsiaTheme="minorEastAsia"/>
          <w:color w:val="000000" w:themeColor="text1"/>
          <w:sz w:val="72"/>
          <w:szCs w:val="72"/>
        </w:rPr>
        <w:t>第三部分</w:t>
      </w:r>
    </w:p>
    <w:p>
      <w:pPr>
        <w:widowControl/>
        <w:spacing w:line="1200" w:lineRule="exact"/>
        <w:jc w:val="center"/>
        <w:rPr>
          <w:color w:val="000000" w:themeColor="text1"/>
          <w:sz w:val="72"/>
          <w:szCs w:val="72"/>
        </w:rPr>
      </w:pPr>
      <w:r>
        <w:rPr>
          <w:rFonts w:hint="eastAsia" w:hAnsi="宋体" w:asciiTheme="minorEastAsia" w:eastAsiaTheme="minorEastAsia"/>
          <w:color w:val="000000" w:themeColor="text1"/>
          <w:sz w:val="72"/>
          <w:szCs w:val="72"/>
        </w:rPr>
        <w:t>部门决算情况说明</w:t>
      </w:r>
    </w:p>
    <w:p>
      <w:pPr>
        <w:rPr>
          <w:rFonts w:ascii="宋体" w:hAnsi="宋体" w:cs="ArialUnicodeMS"/>
          <w:color w:val="000000"/>
          <w:kern w:val="0"/>
        </w:rPr>
        <w:sectPr>
          <w:pgSz w:w="11906" w:h="16838"/>
          <w:pgMar w:top="2098" w:right="1474" w:bottom="1984" w:left="1588" w:header="851" w:footer="992" w:gutter="0"/>
          <w:cols w:space="0" w:num="1"/>
          <w:docGrid w:type="lines" w:linePitch="312" w:charSpace="0"/>
        </w:sectPr>
      </w:pPr>
    </w:p>
    <w:p>
      <w:pPr>
        <w:pStyle w:val="3"/>
        <w:spacing w:before="0" w:after="0" w:line="580" w:lineRule="exact"/>
        <w:ind w:firstLine="640" w:firstLineChars="200"/>
        <w:rPr>
          <w:rFonts w:ascii="黑体" w:eastAsia="黑体"/>
          <w:b w:val="0"/>
          <w:bCs w:val="0"/>
        </w:rPr>
      </w:pPr>
      <w:r>
        <w:rPr>
          <w:rFonts w:hint="eastAsia" w:ascii="黑体" w:eastAsia="黑体"/>
          <w:b w:val="0"/>
          <w:bCs w:val="0"/>
        </w:rPr>
        <w:t>一、收入</w:t>
      </w:r>
      <w:r>
        <w:rPr>
          <w:rFonts w:hint="eastAsia" w:ascii="黑体" w:eastAsia="黑体" w:cs="黑体" w:hAnsiTheme="minorHAnsi"/>
          <w:b w:val="0"/>
          <w:bCs w:val="0"/>
          <w:kern w:val="0"/>
        </w:rPr>
        <w:t>支出</w:t>
      </w:r>
      <w:r>
        <w:rPr>
          <w:rFonts w:hint="eastAsia" w:ascii="黑体" w:eastAsia="黑体"/>
          <w:b w:val="0"/>
          <w:bCs w:val="0"/>
        </w:rPr>
        <w:t>决算总体情况说明</w:t>
      </w:r>
    </w:p>
    <w:p>
      <w:pPr>
        <w:spacing w:after="0" w:line="560" w:lineRule="exact"/>
        <w:ind w:firstLine="640" w:firstLineChars="200"/>
        <w:rPr>
          <w:rFonts w:ascii="仿宋" w:hAnsi="仿宋" w:eastAsia="仿宋" w:cs="ArialUnicodeMS"/>
          <w:kern w:val="0"/>
          <w:sz w:val="32"/>
          <w:szCs w:val="32"/>
        </w:rPr>
      </w:pPr>
      <w:r>
        <w:rPr>
          <w:rFonts w:hint="eastAsia" w:ascii="仿宋" w:hAnsi="仿宋" w:eastAsia="仿宋" w:cs="ArialUnicodeMS"/>
          <w:kern w:val="0"/>
          <w:sz w:val="32"/>
          <w:szCs w:val="32"/>
        </w:rPr>
        <w:t>本部门2018年度收支总计（含结转和结余）302.08万元。与2017年度决算相比，收支各减少</w:t>
      </w:r>
      <w:r>
        <w:rPr>
          <w:rFonts w:ascii="仿宋" w:hAnsi="仿宋" w:eastAsia="仿宋" w:cs="ArialUnicodeMS"/>
          <w:kern w:val="0"/>
          <w:sz w:val="32"/>
          <w:szCs w:val="32"/>
        </w:rPr>
        <w:t>35</w:t>
      </w:r>
      <w:r>
        <w:rPr>
          <w:rFonts w:hint="eastAsia" w:ascii="仿宋" w:hAnsi="仿宋" w:eastAsia="仿宋" w:cs="ArialUnicodeMS"/>
          <w:kern w:val="0"/>
          <w:sz w:val="32"/>
          <w:szCs w:val="32"/>
        </w:rPr>
        <w:t>万元，下降</w:t>
      </w:r>
      <w:r>
        <w:rPr>
          <w:rFonts w:ascii="仿宋" w:hAnsi="仿宋" w:eastAsia="仿宋" w:cs="ArialUnicodeMS"/>
          <w:kern w:val="0"/>
          <w:sz w:val="32"/>
          <w:szCs w:val="32"/>
        </w:rPr>
        <w:t>10</w:t>
      </w:r>
      <w:r>
        <w:rPr>
          <w:rFonts w:hint="eastAsia" w:ascii="仿宋" w:hAnsi="仿宋" w:eastAsia="仿宋" w:cs="ArialUnicodeMS"/>
          <w:kern w:val="0"/>
          <w:sz w:val="32"/>
          <w:szCs w:val="32"/>
        </w:rPr>
        <w:t>%，主要是减少了项目支出。</w:t>
      </w:r>
    </w:p>
    <w:p>
      <w:pPr>
        <w:pStyle w:val="3"/>
        <w:spacing w:before="0" w:after="0" w:line="580" w:lineRule="exact"/>
        <w:ind w:firstLine="640" w:firstLineChars="200"/>
        <w:rPr>
          <w:rFonts w:ascii="黑体" w:eastAsia="黑体"/>
          <w:b w:val="0"/>
          <w:bCs w:val="0"/>
        </w:rPr>
      </w:pPr>
      <w:r>
        <w:rPr>
          <w:rFonts w:hint="eastAsia" w:ascii="黑体" w:eastAsia="黑体"/>
          <w:b w:val="0"/>
          <w:bCs w:val="0"/>
        </w:rPr>
        <w:t>二、收入决算情况说明</w:t>
      </w:r>
    </w:p>
    <w:p>
      <w:pPr>
        <w:spacing w:after="0" w:line="560" w:lineRule="exact"/>
        <w:ind w:firstLine="640" w:firstLineChars="200"/>
        <w:rPr>
          <w:rFonts w:ascii="仿宋" w:hAnsi="仿宋" w:eastAsia="仿宋" w:cs="ArialUnicodeMS"/>
          <w:kern w:val="0"/>
          <w:sz w:val="32"/>
          <w:szCs w:val="32"/>
        </w:rPr>
      </w:pPr>
      <w:r>
        <w:rPr>
          <w:rFonts w:hint="eastAsia" w:ascii="仿宋" w:hAnsi="仿宋" w:eastAsia="仿宋" w:cs="ArialUnicodeMS"/>
          <w:kern w:val="0"/>
          <w:sz w:val="32"/>
          <w:szCs w:val="32"/>
        </w:rPr>
        <w:t>本部门2018年度本年收入合计302.08万元，其中：财政拨款收入302.08万元，占</w:t>
      </w:r>
      <w:r>
        <w:rPr>
          <w:rFonts w:ascii="仿宋" w:hAnsi="仿宋" w:eastAsia="仿宋" w:cs="ArialUnicodeMS"/>
          <w:kern w:val="0"/>
          <w:sz w:val="32"/>
          <w:szCs w:val="32"/>
        </w:rPr>
        <w:t>100</w:t>
      </w:r>
      <w:r>
        <w:rPr>
          <w:rFonts w:hint="eastAsia" w:ascii="仿宋" w:hAnsi="仿宋" w:eastAsia="仿宋" w:cs="ArialUnicodeMS"/>
          <w:kern w:val="0"/>
          <w:sz w:val="32"/>
          <w:szCs w:val="32"/>
        </w:rPr>
        <w:t>%；事业收入0万元，占比0%；经营收入</w:t>
      </w:r>
      <w:r>
        <w:rPr>
          <w:rFonts w:ascii="仿宋" w:hAnsi="仿宋" w:eastAsia="仿宋" w:cs="ArialUnicodeMS"/>
          <w:kern w:val="0"/>
          <w:sz w:val="32"/>
          <w:szCs w:val="32"/>
        </w:rPr>
        <w:t>0</w:t>
      </w:r>
      <w:r>
        <w:rPr>
          <w:rFonts w:hint="eastAsia" w:ascii="仿宋" w:hAnsi="仿宋" w:eastAsia="仿宋" w:cs="ArialUnicodeMS"/>
          <w:kern w:val="0"/>
          <w:sz w:val="32"/>
          <w:szCs w:val="32"/>
        </w:rPr>
        <w:t>万元，占比0%；其他收入0万元，占比0%。如图所示：</w:t>
      </w:r>
    </w:p>
    <w:p>
      <w:pPr>
        <w:adjustRightInd w:val="0"/>
        <w:snapToGrid w:val="0"/>
        <w:spacing w:after="0" w:line="580" w:lineRule="exact"/>
        <w:ind w:firstLine="2560" w:firstLineChars="800"/>
        <w:rPr>
          <w:rFonts w:ascii="仿宋" w:hAnsi="仿宋" w:eastAsia="仿宋" w:cs="DengXian-Regular"/>
          <w:sz w:val="32"/>
          <w:szCs w:val="32"/>
        </w:rPr>
      </w:pPr>
      <w:r>
        <w:rPr>
          <w:rFonts w:ascii="仿宋" w:hAnsi="仿宋" w:eastAsia="仿宋"/>
          <w:sz w:val="32"/>
          <w:szCs w:val="32"/>
        </w:rPr>
        <w:t>图1：收入决算结构饼状图</w:t>
      </w:r>
    </w:p>
    <w:p>
      <w:pPr>
        <w:jc w:val="left"/>
        <w:rPr>
          <w:rFonts w:ascii="仿宋_GB2312" w:eastAsia="仿宋_GB2312" w:cs="DengXian-Regular"/>
          <w:sz w:val="32"/>
          <w:szCs w:val="32"/>
        </w:rPr>
      </w:pPr>
      <w:r>
        <w:rPr>
          <w:rFonts w:hint="eastAsia" w:ascii="仿宋_GB2312" w:eastAsia="仿宋_GB2312" w:cs="DengXian-Regular"/>
          <w:sz w:val="32"/>
          <w:szCs w:val="32"/>
        </w:rPr>
        <w:drawing>
          <wp:anchor distT="0" distB="0" distL="114300" distR="114300" simplePos="0" relativeHeight="251659264" behindDoc="1" locked="0" layoutInCell="1" allowOverlap="1">
            <wp:simplePos x="0" y="0"/>
            <wp:positionH relativeFrom="column">
              <wp:posOffset>325120</wp:posOffset>
            </wp:positionH>
            <wp:positionV relativeFrom="paragraph">
              <wp:posOffset>450850</wp:posOffset>
            </wp:positionV>
            <wp:extent cx="5080000" cy="1971675"/>
            <wp:effectExtent l="4445" t="4445" r="20955" b="5080"/>
            <wp:wrapNone/>
            <wp:docPr id="1"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anchor>
        </w:drawing>
      </w:r>
    </w:p>
    <w:p>
      <w:pPr>
        <w:jc w:val="left"/>
        <w:rPr>
          <w:rFonts w:ascii="仿宋_GB2312" w:eastAsia="仿宋_GB2312" w:cs="DengXian-Regular"/>
          <w:sz w:val="32"/>
          <w:szCs w:val="32"/>
        </w:rPr>
      </w:pPr>
    </w:p>
    <w:p>
      <w:pPr>
        <w:jc w:val="left"/>
        <w:rPr>
          <w:rFonts w:ascii="仿宋_GB2312" w:eastAsia="仿宋_GB2312" w:cs="DengXian-Regular"/>
          <w:sz w:val="32"/>
          <w:szCs w:val="32"/>
        </w:rPr>
      </w:pPr>
    </w:p>
    <w:p>
      <w:pPr>
        <w:jc w:val="left"/>
        <w:rPr>
          <w:rFonts w:ascii="仿宋_GB2312" w:eastAsia="仿宋_GB2312" w:cs="DengXian-Regular"/>
          <w:sz w:val="32"/>
          <w:szCs w:val="32"/>
        </w:rPr>
      </w:pPr>
    </w:p>
    <w:p>
      <w:pPr>
        <w:jc w:val="left"/>
        <w:rPr>
          <w:rFonts w:ascii="仿宋_GB2312" w:eastAsia="仿宋_GB2312" w:cs="DengXian-Regular"/>
          <w:sz w:val="32"/>
          <w:szCs w:val="32"/>
        </w:rPr>
      </w:pPr>
    </w:p>
    <w:p>
      <w:pPr>
        <w:pStyle w:val="3"/>
        <w:spacing w:before="0" w:after="0" w:line="580" w:lineRule="exact"/>
        <w:ind w:firstLine="640" w:firstLineChars="200"/>
        <w:rPr>
          <w:rFonts w:ascii="黑体" w:eastAsia="黑体"/>
          <w:b w:val="0"/>
          <w:bCs w:val="0"/>
        </w:rPr>
      </w:pPr>
      <w:r>
        <w:rPr>
          <w:rFonts w:hint="eastAsia" w:ascii="黑体" w:eastAsia="黑体"/>
          <w:b w:val="0"/>
          <w:bCs w:val="0"/>
        </w:rPr>
        <w:t>三、支出决算情况说明</w:t>
      </w:r>
    </w:p>
    <w:p>
      <w:pPr>
        <w:adjustRightInd w:val="0"/>
        <w:snapToGrid w:val="0"/>
        <w:spacing w:after="0" w:line="580" w:lineRule="exact"/>
        <w:ind w:firstLine="640" w:firstLineChars="200"/>
        <w:rPr>
          <w:rFonts w:ascii="仿宋" w:hAnsi="仿宋" w:eastAsia="仿宋" w:cs="DengXian-Regular"/>
          <w:sz w:val="32"/>
          <w:szCs w:val="32"/>
        </w:rPr>
      </w:pPr>
      <w:r>
        <w:rPr>
          <w:rFonts w:hint="eastAsia" w:ascii="仿宋" w:hAnsi="仿宋" w:eastAsia="仿宋" w:cs="DengXian-Regular"/>
          <w:sz w:val="32"/>
          <w:szCs w:val="32"/>
        </w:rPr>
        <w:t>本部门2018年度本年支出合计</w:t>
      </w:r>
      <w:r>
        <w:rPr>
          <w:rFonts w:hint="eastAsia" w:ascii="仿宋" w:hAnsi="仿宋" w:eastAsia="仿宋" w:cs="仿宋"/>
          <w:sz w:val="32"/>
          <w:szCs w:val="32"/>
        </w:rPr>
        <w:t>294.66</w:t>
      </w:r>
      <w:r>
        <w:rPr>
          <w:rFonts w:hint="eastAsia" w:ascii="仿宋" w:hAnsi="仿宋" w:eastAsia="仿宋" w:cs="DengXian-Regular"/>
          <w:sz w:val="32"/>
          <w:szCs w:val="32"/>
        </w:rPr>
        <w:t>万元，其中：基本支出</w:t>
      </w:r>
      <w:r>
        <w:rPr>
          <w:rFonts w:hint="eastAsia" w:ascii="仿宋" w:hAnsi="仿宋" w:eastAsia="仿宋" w:cs="仿宋"/>
          <w:sz w:val="32"/>
          <w:szCs w:val="32"/>
        </w:rPr>
        <w:t>294.66</w:t>
      </w:r>
      <w:r>
        <w:rPr>
          <w:rFonts w:hint="eastAsia" w:ascii="仿宋" w:hAnsi="仿宋" w:eastAsia="仿宋" w:cs="DengXian-Regular"/>
          <w:sz w:val="32"/>
          <w:szCs w:val="32"/>
        </w:rPr>
        <w:t>万元，占</w:t>
      </w:r>
      <w:r>
        <w:rPr>
          <w:rFonts w:ascii="仿宋" w:hAnsi="仿宋" w:eastAsia="仿宋" w:cs="DengXian-Regular"/>
          <w:sz w:val="32"/>
          <w:szCs w:val="32"/>
        </w:rPr>
        <w:t>100</w:t>
      </w:r>
      <w:r>
        <w:rPr>
          <w:rFonts w:hint="eastAsia" w:ascii="仿宋" w:hAnsi="仿宋" w:eastAsia="仿宋" w:cs="DengXian-Regular"/>
          <w:sz w:val="32"/>
          <w:szCs w:val="32"/>
        </w:rPr>
        <w:t>%；项目支出0万元，占0%；经营支出</w:t>
      </w:r>
      <w:r>
        <w:rPr>
          <w:rFonts w:ascii="仿宋" w:hAnsi="仿宋" w:eastAsia="仿宋" w:cs="DengXian-Regular"/>
          <w:sz w:val="32"/>
          <w:szCs w:val="32"/>
        </w:rPr>
        <w:t>0</w:t>
      </w:r>
      <w:r>
        <w:rPr>
          <w:rFonts w:hint="eastAsia" w:ascii="仿宋" w:hAnsi="仿宋" w:eastAsia="仿宋" w:cs="DengXian-Regular"/>
          <w:sz w:val="32"/>
          <w:szCs w:val="32"/>
        </w:rPr>
        <w:t>万元，占比0%。如图所示：</w:t>
      </w:r>
    </w:p>
    <w:p>
      <w:pPr>
        <w:adjustRightInd w:val="0"/>
        <w:snapToGrid w:val="0"/>
        <w:spacing w:after="0" w:line="580" w:lineRule="exact"/>
        <w:ind w:firstLine="2240" w:firstLineChars="700"/>
        <w:rPr>
          <w:rFonts w:ascii="仿宋" w:hAnsi="仿宋" w:eastAsia="仿宋"/>
        </w:rPr>
      </w:pPr>
      <w:r>
        <w:rPr>
          <w:rFonts w:ascii="仿宋" w:hAnsi="仿宋" w:eastAsia="仿宋"/>
          <w:sz w:val="32"/>
          <w:szCs w:val="32"/>
        </w:rPr>
        <w:t>图2：支出决算结构饼状图</w:t>
      </w:r>
    </w:p>
    <w:p>
      <w:pPr>
        <w:adjustRightInd w:val="0"/>
        <w:snapToGrid w:val="0"/>
        <w:spacing w:after="0" w:line="580" w:lineRule="exact"/>
        <w:ind w:firstLine="640" w:firstLineChars="200"/>
        <w:rPr>
          <w:rFonts w:ascii="仿宋_GB2312" w:eastAsia="仿宋_GB2312" w:cs="DengXian-Regular"/>
          <w:sz w:val="32"/>
          <w:szCs w:val="32"/>
        </w:rPr>
      </w:pP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drawing>
          <wp:anchor distT="0" distB="0" distL="114300" distR="114300" simplePos="0" relativeHeight="251663360" behindDoc="1" locked="0" layoutInCell="1" allowOverlap="1">
            <wp:simplePos x="0" y="0"/>
            <wp:positionH relativeFrom="column">
              <wp:posOffset>134620</wp:posOffset>
            </wp:positionH>
            <wp:positionV relativeFrom="paragraph">
              <wp:posOffset>258445</wp:posOffset>
            </wp:positionV>
            <wp:extent cx="5440680" cy="1506855"/>
            <wp:effectExtent l="4445" t="4445" r="22225" b="12700"/>
            <wp:wrapNone/>
            <wp:docPr id="2"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anchor>
        </w:drawing>
      </w:r>
    </w:p>
    <w:p>
      <w:pPr>
        <w:adjustRightInd w:val="0"/>
        <w:snapToGrid w:val="0"/>
        <w:spacing w:after="0" w:line="580" w:lineRule="exact"/>
        <w:ind w:firstLine="640" w:firstLineChars="200"/>
        <w:rPr>
          <w:rFonts w:ascii="仿宋_GB2312" w:eastAsia="仿宋_GB2312" w:cs="DengXian-Regular"/>
          <w:sz w:val="32"/>
          <w:szCs w:val="32"/>
        </w:rPr>
      </w:pPr>
    </w:p>
    <w:p>
      <w:pPr>
        <w:adjustRightInd w:val="0"/>
        <w:snapToGrid w:val="0"/>
        <w:spacing w:after="0" w:line="580" w:lineRule="exact"/>
        <w:ind w:firstLine="640" w:firstLineChars="200"/>
        <w:rPr>
          <w:rFonts w:ascii="仿宋_GB2312" w:eastAsia="仿宋_GB2312" w:cs="DengXian-Regular"/>
          <w:sz w:val="32"/>
          <w:szCs w:val="32"/>
        </w:rPr>
      </w:pPr>
    </w:p>
    <w:p>
      <w:pPr>
        <w:adjustRightInd w:val="0"/>
        <w:snapToGrid w:val="0"/>
        <w:spacing w:after="0" w:line="580" w:lineRule="exact"/>
        <w:ind w:firstLine="640" w:firstLineChars="200"/>
        <w:rPr>
          <w:rFonts w:ascii="仿宋_GB2312" w:eastAsia="仿宋_GB2312" w:cs="DengXian-Regular"/>
          <w:sz w:val="32"/>
          <w:szCs w:val="32"/>
        </w:rPr>
      </w:pPr>
    </w:p>
    <w:p>
      <w:pPr>
        <w:adjustRightInd w:val="0"/>
        <w:snapToGrid w:val="0"/>
        <w:spacing w:after="0" w:line="580" w:lineRule="exact"/>
        <w:ind w:firstLine="640" w:firstLineChars="200"/>
        <w:rPr>
          <w:rFonts w:ascii="仿宋_GB2312" w:eastAsia="仿宋_GB2312" w:cs="DengXian-Regular"/>
          <w:sz w:val="32"/>
          <w:szCs w:val="32"/>
        </w:rPr>
      </w:pPr>
    </w:p>
    <w:p>
      <w:pPr>
        <w:adjustRightInd w:val="0"/>
        <w:snapToGrid w:val="0"/>
        <w:spacing w:after="0" w:line="580" w:lineRule="exact"/>
        <w:ind w:firstLine="640" w:firstLineChars="200"/>
        <w:rPr>
          <w:rFonts w:ascii="仿宋_GB2312" w:eastAsia="仿宋_GB2312" w:cs="DengXian-Regular"/>
          <w:sz w:val="32"/>
          <w:szCs w:val="32"/>
        </w:rPr>
      </w:pPr>
    </w:p>
    <w:p>
      <w:pPr>
        <w:pStyle w:val="3"/>
        <w:spacing w:before="0" w:after="0" w:line="580" w:lineRule="exact"/>
        <w:ind w:firstLine="640" w:firstLineChars="200"/>
        <w:rPr>
          <w:rFonts w:ascii="黑体" w:eastAsia="黑体"/>
          <w:b w:val="0"/>
          <w:bCs w:val="0"/>
        </w:rPr>
      </w:pPr>
      <w:r>
        <w:rPr>
          <w:rFonts w:hint="eastAsia" w:ascii="黑体" w:eastAsia="黑体"/>
          <w:b w:val="0"/>
          <w:bCs w:val="0"/>
        </w:rPr>
        <w:t>四、财政拨款收入支出决算情况说明</w:t>
      </w:r>
    </w:p>
    <w:p>
      <w:pPr>
        <w:spacing w:after="0" w:line="580" w:lineRule="exact"/>
        <w:ind w:firstLine="643" w:firstLineChars="200"/>
        <w:rPr>
          <w:rFonts w:ascii="楷体_GB2312" w:eastAsia="楷体_GB2312" w:cs="DengXian-Bold"/>
          <w:b/>
          <w:bCs/>
          <w:sz w:val="32"/>
          <w:szCs w:val="32"/>
        </w:rPr>
      </w:pPr>
      <w:r>
        <w:rPr>
          <w:rFonts w:hint="eastAsia" w:ascii="楷体_GB2312" w:eastAsia="楷体_GB2312" w:cs="DengXian-Bold"/>
          <w:b/>
          <w:bCs/>
          <w:sz w:val="32"/>
          <w:szCs w:val="32"/>
        </w:rPr>
        <w:t>（一）财政拨款收支与2017 年度决算对比情况</w:t>
      </w:r>
    </w:p>
    <w:p>
      <w:pPr>
        <w:adjustRightInd w:val="0"/>
        <w:snapToGrid w:val="0"/>
        <w:spacing w:after="0" w:line="580" w:lineRule="exact"/>
        <w:ind w:firstLine="640" w:firstLineChars="200"/>
        <w:rPr>
          <w:rFonts w:ascii="仿宋" w:hAnsi="仿宋" w:eastAsia="仿宋" w:cs="DengXian-Regular"/>
          <w:sz w:val="32"/>
          <w:szCs w:val="32"/>
        </w:rPr>
      </w:pPr>
      <w:r>
        <w:rPr>
          <w:rFonts w:hint="eastAsia" w:ascii="仿宋" w:hAnsi="仿宋" w:eastAsia="仿宋" w:cs="DengXian-Regular"/>
          <w:sz w:val="32"/>
          <w:szCs w:val="32"/>
        </w:rPr>
        <w:t>本部门2018年度形成的财政拨款收支均为一般公共预算财政拨款，其中一般公共预算财政拨款本年收入</w:t>
      </w:r>
      <w:r>
        <w:rPr>
          <w:rFonts w:hint="eastAsia" w:ascii="仿宋" w:hAnsi="仿宋" w:eastAsia="仿宋" w:cs="仿宋"/>
          <w:sz w:val="32"/>
          <w:szCs w:val="32"/>
        </w:rPr>
        <w:t>302.08</w:t>
      </w:r>
      <w:r>
        <w:rPr>
          <w:rFonts w:hint="eastAsia" w:ascii="仿宋" w:hAnsi="仿宋" w:eastAsia="仿宋" w:cs="DengXian-Regular"/>
          <w:sz w:val="32"/>
          <w:szCs w:val="32"/>
        </w:rPr>
        <w:t>万元,比2017年度减少3</w:t>
      </w:r>
      <w:r>
        <w:rPr>
          <w:rFonts w:ascii="仿宋" w:hAnsi="仿宋" w:eastAsia="仿宋" w:cs="DengXian-Regular"/>
          <w:sz w:val="32"/>
          <w:szCs w:val="32"/>
        </w:rPr>
        <w:t>5</w:t>
      </w:r>
      <w:r>
        <w:rPr>
          <w:rFonts w:hint="eastAsia" w:ascii="仿宋" w:hAnsi="仿宋" w:eastAsia="仿宋" w:cs="DengXian-Regular"/>
          <w:sz w:val="32"/>
          <w:szCs w:val="32"/>
        </w:rPr>
        <w:t>万元，降低</w:t>
      </w:r>
      <w:r>
        <w:rPr>
          <w:rFonts w:ascii="仿宋" w:hAnsi="仿宋" w:eastAsia="仿宋" w:cs="DengXian-Regular"/>
          <w:sz w:val="32"/>
          <w:szCs w:val="32"/>
        </w:rPr>
        <w:t>10</w:t>
      </w:r>
      <w:r>
        <w:rPr>
          <w:rFonts w:hint="eastAsia" w:ascii="仿宋" w:hAnsi="仿宋" w:eastAsia="仿宋" w:cs="DengXian-Regular"/>
          <w:sz w:val="32"/>
          <w:szCs w:val="32"/>
        </w:rPr>
        <w:t>%，主要是减少了项目支出；本年支出</w:t>
      </w:r>
      <w:r>
        <w:rPr>
          <w:rFonts w:hint="eastAsia" w:ascii="仿宋" w:hAnsi="仿宋" w:eastAsia="仿宋" w:cs="仿宋"/>
          <w:sz w:val="32"/>
          <w:szCs w:val="32"/>
        </w:rPr>
        <w:t>294.66</w:t>
      </w:r>
      <w:r>
        <w:rPr>
          <w:rFonts w:hint="eastAsia" w:ascii="仿宋" w:hAnsi="仿宋" w:eastAsia="仿宋" w:cs="DengXian-Regular"/>
          <w:sz w:val="32"/>
          <w:szCs w:val="32"/>
        </w:rPr>
        <w:t>万元，减少</w:t>
      </w:r>
      <w:r>
        <w:rPr>
          <w:rFonts w:hint="eastAsia" w:ascii="仿宋" w:hAnsi="仿宋" w:eastAsia="仿宋" w:cs="仿宋"/>
          <w:sz w:val="32"/>
          <w:szCs w:val="32"/>
        </w:rPr>
        <w:t>42.42</w:t>
      </w:r>
      <w:r>
        <w:rPr>
          <w:rFonts w:hint="eastAsia" w:ascii="仿宋" w:hAnsi="仿宋" w:eastAsia="仿宋" w:cs="DengXian-Regular"/>
          <w:sz w:val="32"/>
          <w:szCs w:val="32"/>
        </w:rPr>
        <w:t>万元，降低</w:t>
      </w:r>
      <w:r>
        <w:rPr>
          <w:rFonts w:hint="eastAsia" w:ascii="仿宋" w:hAnsi="仿宋" w:eastAsia="仿宋" w:cs="仿宋"/>
          <w:sz w:val="32"/>
          <w:szCs w:val="32"/>
        </w:rPr>
        <w:t>14</w:t>
      </w:r>
      <w:r>
        <w:rPr>
          <w:rFonts w:hint="eastAsia" w:ascii="仿宋" w:hAnsi="仿宋" w:eastAsia="仿宋" w:cs="DengXian-Regular"/>
          <w:sz w:val="32"/>
          <w:szCs w:val="32"/>
        </w:rPr>
        <w:t>%，主要是减少了项目支出。如图所示：</w:t>
      </w:r>
    </w:p>
    <w:p>
      <w:pPr>
        <w:adjustRightInd w:val="0"/>
        <w:snapToGrid w:val="0"/>
        <w:spacing w:after="0" w:line="580" w:lineRule="exact"/>
        <w:ind w:firstLine="640" w:firstLineChars="200"/>
        <w:jc w:val="center"/>
        <w:rPr>
          <w:rFonts w:ascii="仿宋" w:hAnsi="仿宋" w:eastAsia="仿宋"/>
          <w:sz w:val="32"/>
          <w:szCs w:val="32"/>
        </w:rPr>
      </w:pPr>
      <w:r>
        <w:rPr>
          <w:rFonts w:hint="eastAsia" w:ascii="仿宋" w:hAnsi="仿宋" w:eastAsia="仿宋"/>
          <w:sz w:val="32"/>
          <w:szCs w:val="32"/>
        </w:rPr>
        <w:t>图3：财政拨款收支情况</w:t>
      </w:r>
    </w:p>
    <w:p>
      <w:pPr>
        <w:adjustRightInd w:val="0"/>
        <w:snapToGrid w:val="0"/>
        <w:spacing w:after="0" w:line="580" w:lineRule="exact"/>
        <w:ind w:firstLine="640" w:firstLineChars="200"/>
        <w:rPr>
          <w:rFonts w:eastAsia="仿宋_GB2312"/>
          <w:sz w:val="32"/>
          <w:szCs w:val="32"/>
        </w:rPr>
      </w:pPr>
      <w:r>
        <w:rPr>
          <w:rFonts w:hint="eastAsia" w:ascii="仿宋_GB2312" w:eastAsia="仿宋_GB2312" w:cs="DengXian-Regular"/>
          <w:sz w:val="32"/>
          <w:szCs w:val="32"/>
        </w:rPr>
        <w:drawing>
          <wp:anchor distT="0" distB="0" distL="114300" distR="114300" simplePos="0" relativeHeight="251660288" behindDoc="1" locked="0" layoutInCell="1" allowOverlap="1">
            <wp:simplePos x="0" y="0"/>
            <wp:positionH relativeFrom="column">
              <wp:posOffset>287020</wp:posOffset>
            </wp:positionH>
            <wp:positionV relativeFrom="paragraph">
              <wp:posOffset>264795</wp:posOffset>
            </wp:positionV>
            <wp:extent cx="5080000" cy="2028825"/>
            <wp:effectExtent l="4445" t="4445" r="20955" b="5080"/>
            <wp:wrapNone/>
            <wp:docPr id="3"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anchor>
        </w:drawing>
      </w:r>
    </w:p>
    <w:p>
      <w:pPr>
        <w:adjustRightInd w:val="0"/>
        <w:snapToGrid w:val="0"/>
        <w:spacing w:after="0" w:line="580" w:lineRule="exact"/>
        <w:ind w:firstLine="640" w:firstLineChars="200"/>
        <w:rPr>
          <w:rFonts w:eastAsia="仿宋_GB2312"/>
          <w:sz w:val="32"/>
          <w:szCs w:val="32"/>
        </w:rPr>
      </w:pPr>
    </w:p>
    <w:p>
      <w:pPr>
        <w:adjustRightInd w:val="0"/>
        <w:snapToGrid w:val="0"/>
        <w:spacing w:after="0" w:line="580" w:lineRule="exact"/>
        <w:ind w:firstLine="640" w:firstLineChars="200"/>
        <w:rPr>
          <w:rFonts w:eastAsia="仿宋_GB2312"/>
          <w:sz w:val="32"/>
          <w:szCs w:val="32"/>
        </w:rPr>
      </w:pPr>
    </w:p>
    <w:p>
      <w:pPr>
        <w:adjustRightInd w:val="0"/>
        <w:snapToGrid w:val="0"/>
        <w:spacing w:after="0" w:line="580" w:lineRule="exact"/>
        <w:ind w:firstLine="640" w:firstLineChars="200"/>
        <w:rPr>
          <w:rFonts w:eastAsia="仿宋_GB2312"/>
          <w:sz w:val="32"/>
          <w:szCs w:val="32"/>
        </w:rPr>
      </w:pPr>
    </w:p>
    <w:p>
      <w:pPr>
        <w:adjustRightInd w:val="0"/>
        <w:snapToGrid w:val="0"/>
        <w:spacing w:after="0" w:line="580" w:lineRule="exact"/>
        <w:ind w:firstLine="640" w:firstLineChars="200"/>
        <w:rPr>
          <w:rFonts w:eastAsia="仿宋_GB2312"/>
          <w:sz w:val="32"/>
          <w:szCs w:val="32"/>
        </w:rPr>
      </w:pPr>
    </w:p>
    <w:p>
      <w:pPr>
        <w:adjustRightInd w:val="0"/>
        <w:snapToGrid w:val="0"/>
        <w:spacing w:after="0" w:line="580" w:lineRule="exact"/>
        <w:ind w:firstLine="640" w:firstLineChars="200"/>
        <w:rPr>
          <w:rFonts w:eastAsia="仿宋_GB2312"/>
          <w:sz w:val="32"/>
          <w:szCs w:val="32"/>
        </w:rPr>
      </w:pPr>
    </w:p>
    <w:p>
      <w:pPr>
        <w:adjustRightInd w:val="0"/>
        <w:snapToGrid w:val="0"/>
        <w:spacing w:after="0" w:line="580" w:lineRule="exact"/>
        <w:ind w:firstLine="640" w:firstLineChars="200"/>
        <w:rPr>
          <w:rFonts w:ascii="仿宋_GB2312" w:cs="DengXian-Regular" w:eastAsiaTheme="minorEastAsia"/>
          <w:sz w:val="32"/>
          <w:szCs w:val="32"/>
        </w:rPr>
      </w:pPr>
    </w:p>
    <w:p>
      <w:pPr>
        <w:spacing w:after="0" w:line="580" w:lineRule="exact"/>
        <w:ind w:firstLine="321" w:firstLineChars="100"/>
        <w:rPr>
          <w:rFonts w:ascii="仿宋_GB2312" w:eastAsia="仿宋_GB2312" w:cs="DengXian-Bold"/>
          <w:b/>
          <w:bCs/>
          <w:sz w:val="32"/>
          <w:szCs w:val="32"/>
        </w:rPr>
      </w:pPr>
      <w:r>
        <w:rPr>
          <w:rFonts w:hint="eastAsia" w:ascii="楷体_GB2312" w:eastAsia="楷体_GB2312" w:cs="DengXian-Bold"/>
          <w:b/>
          <w:bCs/>
          <w:sz w:val="32"/>
          <w:szCs w:val="32"/>
        </w:rPr>
        <w:t>（二）财政拨款收支与年初预算数对比情况</w:t>
      </w:r>
    </w:p>
    <w:p>
      <w:pPr>
        <w:adjustRightInd w:val="0"/>
        <w:snapToGrid w:val="0"/>
        <w:spacing w:after="0" w:line="580" w:lineRule="exact"/>
        <w:ind w:firstLine="640" w:firstLineChars="200"/>
        <w:jc w:val="left"/>
        <w:rPr>
          <w:rFonts w:ascii="仿宋" w:hAnsi="仿宋" w:eastAsia="仿宋" w:cs="DengXian-Regular"/>
          <w:sz w:val="32"/>
          <w:szCs w:val="32"/>
        </w:rPr>
      </w:pPr>
      <w:r>
        <w:rPr>
          <w:rFonts w:hint="eastAsia" w:ascii="仿宋" w:hAnsi="仿宋" w:eastAsia="仿宋" w:cs="DengXian-Regular"/>
          <w:sz w:val="32"/>
          <w:szCs w:val="32"/>
        </w:rPr>
        <w:t>本部门2018年度一般公共预算财政拨款收入302.08万元，完成年初预算的144%,比年初预算增加93.73万元，决算数大于预算数主要是增加了人员经费支出；本年支出294.66万元，完成年初预算的141%,比年初预算增加86.31万元，决算数大于预算数主要是增加了人员经费的支出。</w:t>
      </w:r>
    </w:p>
    <w:p>
      <w:pPr>
        <w:adjustRightInd w:val="0"/>
        <w:snapToGrid w:val="0"/>
        <w:spacing w:after="0" w:line="580" w:lineRule="exact"/>
        <w:jc w:val="center"/>
        <w:rPr>
          <w:rFonts w:ascii="仿宋" w:hAnsi="仿宋" w:eastAsia="仿宋"/>
          <w:sz w:val="32"/>
          <w:szCs w:val="32"/>
        </w:rPr>
      </w:pPr>
      <w:r>
        <w:rPr>
          <w:rFonts w:hint="eastAsia" w:ascii="仿宋" w:hAnsi="仿宋" w:eastAsia="仿宋"/>
          <w:sz w:val="32"/>
          <w:szCs w:val="32"/>
        </w:rPr>
        <w:t>图4：财政拨款收支预决算对比情况</w:t>
      </w:r>
    </w:p>
    <w:p>
      <w:pPr>
        <w:adjustRightInd w:val="0"/>
        <w:snapToGrid w:val="0"/>
        <w:spacing w:after="0" w:line="580" w:lineRule="exact"/>
        <w:jc w:val="center"/>
        <w:rPr>
          <w:rFonts w:eastAsia="仿宋_GB2312"/>
          <w:sz w:val="32"/>
          <w:szCs w:val="32"/>
        </w:rPr>
      </w:pPr>
      <w:r>
        <w:rPr>
          <w:rFonts w:hint="eastAsia" w:ascii="仿宋_GB2312" w:eastAsia="仿宋_GB2312" w:cs="DengXian-Regular"/>
          <w:sz w:val="32"/>
          <w:szCs w:val="32"/>
        </w:rPr>
        <w:drawing>
          <wp:anchor distT="0" distB="0" distL="114300" distR="114300" simplePos="0" relativeHeight="251661312" behindDoc="1" locked="0" layoutInCell="1" allowOverlap="1">
            <wp:simplePos x="0" y="0"/>
            <wp:positionH relativeFrom="column">
              <wp:posOffset>-17780</wp:posOffset>
            </wp:positionH>
            <wp:positionV relativeFrom="paragraph">
              <wp:posOffset>83820</wp:posOffset>
            </wp:positionV>
            <wp:extent cx="5536565" cy="2123440"/>
            <wp:effectExtent l="4445" t="4445" r="21590" b="5715"/>
            <wp:wrapNone/>
            <wp:docPr id="4"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anchor>
        </w:drawing>
      </w:r>
    </w:p>
    <w:p>
      <w:pPr>
        <w:adjustRightInd w:val="0"/>
        <w:snapToGrid w:val="0"/>
        <w:spacing w:after="0" w:line="580" w:lineRule="exact"/>
        <w:jc w:val="center"/>
        <w:rPr>
          <w:rFonts w:eastAsia="仿宋_GB2312"/>
          <w:sz w:val="32"/>
          <w:szCs w:val="32"/>
        </w:rPr>
      </w:pPr>
    </w:p>
    <w:p>
      <w:pPr>
        <w:adjustRightInd w:val="0"/>
        <w:snapToGrid w:val="0"/>
        <w:spacing w:after="0" w:line="580" w:lineRule="exact"/>
        <w:jc w:val="center"/>
        <w:rPr>
          <w:rFonts w:eastAsia="仿宋_GB2312"/>
          <w:sz w:val="32"/>
          <w:szCs w:val="32"/>
        </w:rPr>
      </w:pPr>
    </w:p>
    <w:p>
      <w:pPr>
        <w:adjustRightInd w:val="0"/>
        <w:snapToGrid w:val="0"/>
        <w:spacing w:after="0" w:line="580" w:lineRule="exact"/>
        <w:jc w:val="center"/>
        <w:rPr>
          <w:rFonts w:eastAsia="仿宋_GB2312"/>
          <w:sz w:val="32"/>
          <w:szCs w:val="32"/>
        </w:rPr>
      </w:pPr>
    </w:p>
    <w:p>
      <w:pPr>
        <w:adjustRightInd w:val="0"/>
        <w:snapToGrid w:val="0"/>
        <w:spacing w:after="0" w:line="580" w:lineRule="exact"/>
        <w:ind w:firstLine="643" w:firstLineChars="200"/>
        <w:rPr>
          <w:rFonts w:ascii="楷体_GB2312" w:eastAsia="楷体_GB2312" w:cs="DengXian-Bold"/>
          <w:b/>
          <w:bCs/>
          <w:sz w:val="32"/>
          <w:szCs w:val="32"/>
        </w:rPr>
      </w:pPr>
    </w:p>
    <w:p>
      <w:pPr>
        <w:adjustRightInd w:val="0"/>
        <w:snapToGrid w:val="0"/>
        <w:spacing w:after="0" w:line="580" w:lineRule="exact"/>
        <w:ind w:firstLine="321" w:firstLineChars="100"/>
        <w:rPr>
          <w:rFonts w:ascii="楷体_GB2312" w:eastAsia="楷体_GB2312" w:cs="DengXian-Bold"/>
          <w:b/>
          <w:bCs/>
          <w:sz w:val="32"/>
          <w:szCs w:val="32"/>
        </w:rPr>
      </w:pPr>
    </w:p>
    <w:p>
      <w:pPr>
        <w:adjustRightInd w:val="0"/>
        <w:snapToGrid w:val="0"/>
        <w:spacing w:after="0" w:line="580" w:lineRule="exact"/>
        <w:ind w:firstLine="321" w:firstLineChars="100"/>
        <w:rPr>
          <w:rFonts w:ascii="楷体_GB2312" w:eastAsia="楷体_GB2312" w:cs="DengXian-Bold"/>
          <w:b/>
          <w:bCs/>
          <w:sz w:val="32"/>
          <w:szCs w:val="32"/>
        </w:rPr>
      </w:pPr>
    </w:p>
    <w:p>
      <w:pPr>
        <w:adjustRightInd w:val="0"/>
        <w:snapToGrid w:val="0"/>
        <w:spacing w:after="0" w:line="580" w:lineRule="exact"/>
        <w:ind w:firstLine="321" w:firstLineChars="100"/>
        <w:rPr>
          <w:rFonts w:ascii="楷体_GB2312" w:cs="DengXian-Bold" w:eastAsiaTheme="minorEastAsia"/>
          <w:b/>
          <w:bCs/>
          <w:sz w:val="32"/>
          <w:szCs w:val="32"/>
        </w:rPr>
      </w:pPr>
      <w:r>
        <w:rPr>
          <w:rFonts w:hint="eastAsia" w:ascii="楷体_GB2312" w:eastAsia="楷体_GB2312" w:cs="DengXian-Bold"/>
          <w:b/>
          <w:bCs/>
          <w:sz w:val="32"/>
          <w:szCs w:val="32"/>
        </w:rPr>
        <w:t>（三）财政拨款支出决算结构情况</w:t>
      </w:r>
    </w:p>
    <w:p>
      <w:pPr>
        <w:adjustRightInd w:val="0"/>
        <w:snapToGrid w:val="0"/>
        <w:spacing w:after="0" w:line="580" w:lineRule="exact"/>
        <w:ind w:firstLine="640" w:firstLineChars="200"/>
        <w:jc w:val="left"/>
        <w:rPr>
          <w:rFonts w:ascii="仿宋" w:hAnsi="仿宋" w:eastAsia="仿宋" w:cs="DengXian-Regular"/>
          <w:sz w:val="32"/>
          <w:szCs w:val="32"/>
        </w:rPr>
      </w:pPr>
      <w:r>
        <w:rPr>
          <w:rFonts w:hint="eastAsia" w:ascii="仿宋" w:hAnsi="仿宋" w:eastAsia="仿宋" w:cs="DengXian-Regular"/>
          <w:sz w:val="32"/>
          <w:szCs w:val="32"/>
        </w:rPr>
        <w:t>2018 年度财政拨款支出294.66万元，主要用于以下方面：一般公共服务（类）支出27</w:t>
      </w:r>
      <w:r>
        <w:rPr>
          <w:rFonts w:ascii="仿宋" w:hAnsi="仿宋" w:eastAsia="仿宋" w:cs="DengXian-Regular"/>
          <w:sz w:val="32"/>
          <w:szCs w:val="32"/>
        </w:rPr>
        <w:t>1</w:t>
      </w:r>
      <w:r>
        <w:rPr>
          <w:rFonts w:hint="eastAsia" w:ascii="仿宋" w:hAnsi="仿宋" w:eastAsia="仿宋" w:cs="DengXian-Regular"/>
          <w:sz w:val="32"/>
          <w:szCs w:val="32"/>
        </w:rPr>
        <w:t>.90万元，占92%；公共安全（类）支出0万元，占0%；教育（类）支出0万元，占0%；科学技术（类）支0万元，占0%；社会保障和就业（类）支出 22.76万元，占8%。住房保障（类）支出0万元，占0%。</w:t>
      </w:r>
    </w:p>
    <w:p>
      <w:pPr>
        <w:adjustRightInd w:val="0"/>
        <w:snapToGrid w:val="0"/>
        <w:spacing w:after="0" w:line="580" w:lineRule="exact"/>
        <w:jc w:val="center"/>
        <w:rPr>
          <w:rFonts w:ascii="仿宋" w:hAnsi="仿宋" w:eastAsia="仿宋"/>
          <w:sz w:val="32"/>
          <w:szCs w:val="32"/>
        </w:rPr>
      </w:pPr>
      <w:r>
        <w:rPr>
          <w:rFonts w:hint="eastAsia" w:ascii="仿宋" w:hAnsi="仿宋" w:eastAsia="仿宋"/>
          <w:sz w:val="32"/>
          <w:szCs w:val="32"/>
        </w:rPr>
        <w:t>图5：财政拨款支出决算结构（按功能分类）</w:t>
      </w:r>
    </w:p>
    <w:p>
      <w:pPr>
        <w:adjustRightInd w:val="0"/>
        <w:snapToGrid w:val="0"/>
        <w:spacing w:after="0" w:line="580" w:lineRule="exact"/>
        <w:jc w:val="center"/>
        <w:rPr>
          <w:rFonts w:eastAsia="仿宋_GB2312"/>
          <w:sz w:val="32"/>
          <w:szCs w:val="32"/>
        </w:rPr>
      </w:pPr>
      <w:r>
        <w:rPr>
          <w:rFonts w:hint="eastAsia" w:ascii="仿宋_GB2312" w:eastAsia="仿宋_GB2312" w:cs="DengXian-Regular"/>
          <w:sz w:val="32"/>
          <w:szCs w:val="32"/>
        </w:rPr>
        <w:drawing>
          <wp:anchor distT="0" distB="0" distL="114300" distR="114300" simplePos="0" relativeHeight="251662336" behindDoc="1" locked="0" layoutInCell="1" allowOverlap="1">
            <wp:simplePos x="0" y="0"/>
            <wp:positionH relativeFrom="column">
              <wp:posOffset>134620</wp:posOffset>
            </wp:positionH>
            <wp:positionV relativeFrom="paragraph">
              <wp:posOffset>255270</wp:posOffset>
            </wp:positionV>
            <wp:extent cx="5441950" cy="1914525"/>
            <wp:effectExtent l="4445" t="4445" r="20955" b="5080"/>
            <wp:wrapNone/>
            <wp:docPr id="5" name="图表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anchor>
        </w:drawing>
      </w:r>
    </w:p>
    <w:p>
      <w:pPr>
        <w:adjustRightInd w:val="0"/>
        <w:snapToGrid w:val="0"/>
        <w:spacing w:after="0" w:line="580" w:lineRule="exact"/>
        <w:jc w:val="center"/>
        <w:rPr>
          <w:rFonts w:eastAsia="仿宋_GB2312"/>
          <w:sz w:val="32"/>
          <w:szCs w:val="32"/>
        </w:rPr>
      </w:pPr>
    </w:p>
    <w:p>
      <w:pPr>
        <w:adjustRightInd w:val="0"/>
        <w:snapToGrid w:val="0"/>
        <w:spacing w:after="0" w:line="580" w:lineRule="exact"/>
        <w:rPr>
          <w:rFonts w:ascii="楷体_GB2312" w:eastAsia="楷体_GB2312" w:cs="DengXian-Bold"/>
          <w:b/>
          <w:bCs/>
          <w:sz w:val="32"/>
          <w:szCs w:val="32"/>
        </w:rPr>
      </w:pPr>
    </w:p>
    <w:p>
      <w:pPr>
        <w:adjustRightInd w:val="0"/>
        <w:snapToGrid w:val="0"/>
        <w:spacing w:after="0" w:line="580" w:lineRule="exact"/>
        <w:ind w:firstLine="640" w:firstLineChars="200"/>
        <w:rPr>
          <w:rFonts w:ascii="仿宋_GB2312" w:eastAsia="仿宋_GB2312" w:cs="DengXian-Regular"/>
          <w:sz w:val="32"/>
          <w:szCs w:val="32"/>
        </w:rPr>
      </w:pPr>
    </w:p>
    <w:p>
      <w:pPr>
        <w:adjustRightInd w:val="0"/>
        <w:snapToGrid w:val="0"/>
        <w:spacing w:after="0" w:line="580" w:lineRule="exact"/>
        <w:ind w:left="420" w:leftChars="200"/>
        <w:rPr>
          <w:rFonts w:ascii="楷体_GB2312" w:eastAsia="楷体_GB2312" w:cs="DengXian-Bold"/>
          <w:b/>
          <w:bCs/>
          <w:sz w:val="32"/>
          <w:szCs w:val="32"/>
        </w:rPr>
      </w:pPr>
    </w:p>
    <w:p>
      <w:pPr>
        <w:adjustRightInd w:val="0"/>
        <w:snapToGrid w:val="0"/>
        <w:spacing w:after="0" w:line="580" w:lineRule="exact"/>
        <w:ind w:left="420" w:leftChars="200"/>
        <w:rPr>
          <w:rFonts w:ascii="楷体_GB2312" w:eastAsia="楷体_GB2312" w:cs="DengXian-Bold"/>
          <w:b/>
          <w:bCs/>
          <w:sz w:val="32"/>
          <w:szCs w:val="32"/>
        </w:rPr>
      </w:pPr>
    </w:p>
    <w:p>
      <w:pPr>
        <w:adjustRightInd w:val="0"/>
        <w:snapToGrid w:val="0"/>
        <w:spacing w:after="0" w:line="580" w:lineRule="exact"/>
        <w:ind w:left="420" w:leftChars="200"/>
        <w:rPr>
          <w:rFonts w:ascii="楷体_GB2312" w:eastAsia="楷体_GB2312" w:cs="DengXian-Bold"/>
          <w:b/>
          <w:bCs/>
          <w:sz w:val="32"/>
          <w:szCs w:val="32"/>
        </w:rPr>
      </w:pPr>
      <w:r>
        <w:rPr>
          <w:rFonts w:hint="eastAsia" w:ascii="楷体_GB2312" w:eastAsia="楷体_GB2312" w:cs="DengXian-Bold"/>
          <w:b/>
          <w:bCs/>
          <w:sz w:val="32"/>
          <w:szCs w:val="32"/>
        </w:rPr>
        <w:t>（四）一般公共预算财政拨款基本支出决算情况说明</w:t>
      </w:r>
    </w:p>
    <w:p>
      <w:pPr>
        <w:adjustRightInd w:val="0"/>
        <w:snapToGrid w:val="0"/>
        <w:spacing w:after="0" w:line="580" w:lineRule="exact"/>
        <w:ind w:firstLine="640" w:firstLineChars="200"/>
        <w:rPr>
          <w:rFonts w:ascii="仿宋" w:hAnsi="仿宋" w:eastAsia="仿宋" w:cs="DengXian-Regular"/>
          <w:sz w:val="32"/>
          <w:szCs w:val="32"/>
        </w:rPr>
      </w:pPr>
      <w:r>
        <w:rPr>
          <w:rFonts w:hint="eastAsia" w:ascii="仿宋" w:hAnsi="仿宋" w:eastAsia="仿宋" w:cs="DengXian-Regular"/>
          <w:sz w:val="32"/>
          <w:szCs w:val="32"/>
        </w:rPr>
        <w:t>2018 年度一般公共预算财政拨款基本支出</w:t>
      </w:r>
      <w:r>
        <w:rPr>
          <w:rFonts w:hint="eastAsia" w:ascii="仿宋" w:hAnsi="仿宋" w:eastAsia="仿宋" w:cs="仿宋"/>
          <w:sz w:val="32"/>
          <w:szCs w:val="32"/>
        </w:rPr>
        <w:t>294.66</w:t>
      </w:r>
      <w:r>
        <w:rPr>
          <w:rFonts w:hint="eastAsia" w:ascii="仿宋" w:hAnsi="仿宋" w:eastAsia="仿宋" w:cs="DengXian-Regular"/>
          <w:sz w:val="32"/>
          <w:szCs w:val="32"/>
        </w:rPr>
        <w:t xml:space="preserve">万元，其中：人员经费 </w:t>
      </w:r>
      <w:r>
        <w:rPr>
          <w:rFonts w:hint="eastAsia" w:ascii="仿宋" w:hAnsi="仿宋" w:eastAsia="仿宋" w:cs="仿宋"/>
          <w:sz w:val="32"/>
          <w:szCs w:val="32"/>
        </w:rPr>
        <w:t>276.17</w:t>
      </w:r>
      <w:r>
        <w:rPr>
          <w:rFonts w:hint="eastAsia" w:ascii="仿宋" w:hAnsi="仿宋" w:eastAsia="仿宋" w:cs="DengXian-Regular"/>
          <w:sz w:val="32"/>
          <w:szCs w:val="32"/>
        </w:rPr>
        <w:t>万元，主要包括基本工资、津贴补贴、奖金、伙食补助费、绩效工资、机关事业单位基本养老保险缴费、职业年金缴费、职工基本医疗保险缴费、公务员医疗补助缴费、住房公积金、医疗费、其他社会保障缴费、其他工资福利支出、离休费、退休费、抚恤金、生活补助、医疗费补助、奖励金、其他对个人和家庭的补助支出等；公用经费1</w:t>
      </w:r>
      <w:r>
        <w:rPr>
          <w:rFonts w:ascii="仿宋" w:hAnsi="仿宋" w:eastAsia="仿宋" w:cs="DengXian-Regular"/>
          <w:sz w:val="32"/>
          <w:szCs w:val="32"/>
        </w:rPr>
        <w:t>8</w:t>
      </w:r>
      <w:r>
        <w:rPr>
          <w:rFonts w:ascii="仿宋" w:hAnsi="仿宋" w:eastAsia="仿宋" w:cs="Calibri"/>
          <w:sz w:val="32"/>
          <w:szCs w:val="32"/>
        </w:rPr>
        <w:t>.</w:t>
      </w:r>
      <w:r>
        <w:rPr>
          <w:rFonts w:hint="eastAsia" w:ascii="仿宋" w:hAnsi="仿宋" w:eastAsia="仿宋" w:cs="仿宋"/>
          <w:sz w:val="32"/>
          <w:szCs w:val="32"/>
        </w:rPr>
        <w:t>49</w:t>
      </w:r>
      <w:r>
        <w:rPr>
          <w:rFonts w:hint="eastAsia" w:ascii="仿宋" w:hAnsi="仿宋" w:eastAsia="仿宋" w:cs="DengXian-Regular"/>
          <w:sz w:val="32"/>
          <w:szCs w:val="32"/>
        </w:rPr>
        <w:t>万元，主要包括办公费、印刷费、咨询费、手续费、水费、电费、邮电费、取暖费、物业管理费、差旅费、因公出国（境）费用、维修（护）费、租赁费、会议费、培训费、公务接待费、专用材料费、劳务费、委托业务费、工会经费、福利费、公务用车运行维护费、其他交通费用、税金及附加费用、其他商品和服务支出、办公设备购置、专用设备购置、信息网络及软件购置更新、公务用车购置、其他资本性支出等。</w:t>
      </w:r>
    </w:p>
    <w:p>
      <w:pPr>
        <w:pStyle w:val="3"/>
        <w:spacing w:before="0" w:after="0" w:line="580" w:lineRule="exact"/>
        <w:ind w:firstLine="640" w:firstLineChars="200"/>
        <w:rPr>
          <w:rFonts w:ascii="黑体" w:eastAsia="黑体"/>
          <w:b w:val="0"/>
          <w:bCs w:val="0"/>
        </w:rPr>
      </w:pPr>
      <w:r>
        <w:rPr>
          <w:rFonts w:hint="eastAsia" w:ascii="黑体" w:eastAsia="黑体"/>
          <w:b w:val="0"/>
          <w:bCs w:val="0"/>
        </w:rPr>
        <w:t>五、一般公共预算财政拨款“三公” 经费支出决算情况说明</w:t>
      </w:r>
    </w:p>
    <w:p>
      <w:pPr>
        <w:adjustRightInd w:val="0"/>
        <w:snapToGrid w:val="0"/>
        <w:spacing w:line="584" w:lineRule="exact"/>
        <w:ind w:firstLine="640" w:firstLineChars="200"/>
        <w:rPr>
          <w:rFonts w:eastAsiaTheme="minorEastAsia"/>
          <w:sz w:val="32"/>
          <w:szCs w:val="32"/>
        </w:rPr>
      </w:pPr>
      <w:r>
        <w:rPr>
          <w:rFonts w:ascii="仿宋" w:hAnsi="仿宋" w:eastAsia="仿宋"/>
          <w:sz w:val="32"/>
          <w:szCs w:val="32"/>
        </w:rPr>
        <w:t>本部门201</w:t>
      </w:r>
      <w:r>
        <w:rPr>
          <w:rFonts w:hint="eastAsia" w:ascii="仿宋" w:hAnsi="仿宋" w:eastAsia="仿宋"/>
          <w:sz w:val="32"/>
          <w:szCs w:val="32"/>
        </w:rPr>
        <w:t>8</w:t>
      </w:r>
      <w:r>
        <w:rPr>
          <w:rFonts w:ascii="仿宋" w:hAnsi="仿宋" w:eastAsia="仿宋"/>
          <w:sz w:val="32"/>
          <w:szCs w:val="32"/>
        </w:rPr>
        <w:t>年度一般公共预算财政拨款“三公”经费支出共计</w:t>
      </w:r>
      <w:r>
        <w:rPr>
          <w:rFonts w:hint="eastAsia" w:ascii="仿宋" w:hAnsi="仿宋" w:eastAsia="仿宋"/>
          <w:sz w:val="32"/>
          <w:szCs w:val="32"/>
        </w:rPr>
        <w:t>0</w:t>
      </w:r>
      <w:r>
        <w:rPr>
          <w:rFonts w:ascii="仿宋" w:hAnsi="仿宋" w:eastAsia="仿宋"/>
          <w:sz w:val="32"/>
          <w:szCs w:val="32"/>
        </w:rPr>
        <w:t>万元，</w:t>
      </w:r>
      <w:r>
        <w:rPr>
          <w:rFonts w:hint="eastAsia" w:ascii="仿宋" w:hAnsi="仿宋" w:eastAsia="仿宋"/>
          <w:sz w:val="32"/>
          <w:szCs w:val="32"/>
        </w:rPr>
        <w:t>比</w:t>
      </w:r>
      <w:r>
        <w:rPr>
          <w:rFonts w:ascii="仿宋" w:hAnsi="仿宋" w:eastAsia="仿宋"/>
          <w:sz w:val="32"/>
          <w:szCs w:val="32"/>
        </w:rPr>
        <w:t>年初预算增加</w:t>
      </w:r>
      <w:r>
        <w:rPr>
          <w:rFonts w:hint="eastAsia" w:ascii="仿宋" w:hAnsi="仿宋" w:eastAsia="仿宋"/>
          <w:sz w:val="32"/>
          <w:szCs w:val="32"/>
        </w:rPr>
        <w:t>0</w:t>
      </w:r>
      <w:r>
        <w:rPr>
          <w:rFonts w:ascii="仿宋" w:hAnsi="仿宋" w:eastAsia="仿宋"/>
          <w:sz w:val="32"/>
          <w:szCs w:val="32"/>
        </w:rPr>
        <w:t>万元，增长</w:t>
      </w:r>
      <w:r>
        <w:rPr>
          <w:rFonts w:hint="eastAsia" w:ascii="仿宋" w:hAnsi="仿宋" w:eastAsia="仿宋"/>
          <w:sz w:val="32"/>
          <w:szCs w:val="32"/>
        </w:rPr>
        <w:t>0</w:t>
      </w:r>
      <w:r>
        <w:rPr>
          <w:rFonts w:ascii="仿宋" w:hAnsi="仿宋" w:eastAsia="仿宋"/>
          <w:sz w:val="32"/>
          <w:szCs w:val="32"/>
        </w:rPr>
        <w:t>%，主要是</w:t>
      </w:r>
      <w:r>
        <w:rPr>
          <w:rFonts w:hint="eastAsia" w:ascii="仿宋" w:hAnsi="仿宋" w:eastAsia="仿宋"/>
          <w:sz w:val="32"/>
          <w:szCs w:val="32"/>
        </w:rPr>
        <w:t>与年初预算无增减变化</w:t>
      </w:r>
      <w:r>
        <w:rPr>
          <w:rFonts w:ascii="仿宋" w:hAnsi="仿宋" w:eastAsia="仿宋"/>
          <w:sz w:val="32"/>
          <w:szCs w:val="32"/>
        </w:rPr>
        <w:t>；</w:t>
      </w:r>
      <w:r>
        <w:rPr>
          <w:rFonts w:hint="eastAsia" w:ascii="仿宋" w:hAnsi="仿宋" w:eastAsia="仿宋"/>
          <w:sz w:val="32"/>
          <w:szCs w:val="32"/>
        </w:rPr>
        <w:t>比</w:t>
      </w:r>
      <w:r>
        <w:rPr>
          <w:rFonts w:ascii="仿宋" w:hAnsi="仿宋" w:eastAsia="仿宋"/>
          <w:sz w:val="32"/>
          <w:szCs w:val="32"/>
        </w:rPr>
        <w:t>201</w:t>
      </w:r>
      <w:r>
        <w:rPr>
          <w:rFonts w:hint="eastAsia" w:ascii="仿宋" w:hAnsi="仿宋" w:eastAsia="仿宋"/>
          <w:sz w:val="32"/>
          <w:szCs w:val="32"/>
        </w:rPr>
        <w:t>7</w:t>
      </w:r>
      <w:r>
        <w:rPr>
          <w:rFonts w:ascii="仿宋" w:hAnsi="仿宋" w:eastAsia="仿宋"/>
          <w:sz w:val="32"/>
          <w:szCs w:val="32"/>
        </w:rPr>
        <w:t>年度决算增加</w:t>
      </w:r>
      <w:r>
        <w:rPr>
          <w:rFonts w:hint="eastAsia" w:ascii="仿宋" w:hAnsi="仿宋" w:eastAsia="仿宋"/>
          <w:sz w:val="32"/>
          <w:szCs w:val="32"/>
        </w:rPr>
        <w:t>0</w:t>
      </w:r>
      <w:r>
        <w:rPr>
          <w:rFonts w:ascii="仿宋" w:hAnsi="仿宋" w:eastAsia="仿宋"/>
          <w:sz w:val="32"/>
          <w:szCs w:val="32"/>
        </w:rPr>
        <w:t>万元，增长</w:t>
      </w:r>
      <w:r>
        <w:rPr>
          <w:rFonts w:hint="eastAsia" w:ascii="仿宋" w:hAnsi="仿宋" w:eastAsia="仿宋"/>
          <w:sz w:val="32"/>
          <w:szCs w:val="32"/>
        </w:rPr>
        <w:t>0</w:t>
      </w:r>
      <w:r>
        <w:rPr>
          <w:rFonts w:ascii="仿宋" w:hAnsi="仿宋" w:eastAsia="仿宋"/>
          <w:sz w:val="32"/>
          <w:szCs w:val="32"/>
        </w:rPr>
        <w:t>%，主要是</w:t>
      </w:r>
      <w:r>
        <w:rPr>
          <w:rFonts w:hint="eastAsia" w:ascii="仿宋" w:hAnsi="仿宋" w:eastAsia="仿宋"/>
          <w:sz w:val="32"/>
          <w:szCs w:val="32"/>
        </w:rPr>
        <w:t>与2017年决算无增减变化</w:t>
      </w:r>
      <w:r>
        <w:rPr>
          <w:rFonts w:ascii="仿宋" w:hAnsi="仿宋" w:eastAsia="仿宋"/>
          <w:sz w:val="32"/>
          <w:szCs w:val="32"/>
        </w:rPr>
        <w:t>。具体情况如下：</w:t>
      </w:r>
    </w:p>
    <w:p>
      <w:pPr>
        <w:adjustRightInd w:val="0"/>
        <w:snapToGrid w:val="0"/>
        <w:spacing w:line="584" w:lineRule="exact"/>
        <w:ind w:firstLine="643" w:firstLineChars="200"/>
        <w:rPr>
          <w:rFonts w:ascii="仿宋" w:hAnsi="仿宋" w:eastAsia="仿宋"/>
          <w:sz w:val="32"/>
          <w:szCs w:val="32"/>
        </w:rPr>
      </w:pPr>
      <w:r>
        <w:rPr>
          <w:rFonts w:ascii="楷体" w:hAnsi="楷体" w:eastAsia="楷体" w:cs="DengXian-Bold"/>
          <w:b/>
          <w:bCs/>
          <w:sz w:val="32"/>
          <w:szCs w:val="32"/>
        </w:rPr>
        <w:t>（一）因公出国（境）费支出</w:t>
      </w:r>
      <w:r>
        <w:rPr>
          <w:rFonts w:hint="eastAsia" w:ascii="楷体" w:hAnsi="楷体" w:eastAsia="楷体" w:cs="DengXian-Bold"/>
          <w:b/>
          <w:bCs/>
          <w:sz w:val="32"/>
          <w:szCs w:val="32"/>
        </w:rPr>
        <w:t>0万元</w:t>
      </w:r>
      <w:r>
        <w:rPr>
          <w:rFonts w:ascii="楷体" w:hAnsi="楷体" w:eastAsia="楷体" w:cs="DengXian-Bold"/>
          <w:b/>
          <w:bCs/>
          <w:sz w:val="32"/>
          <w:szCs w:val="32"/>
        </w:rPr>
        <w:t>。</w:t>
      </w:r>
      <w:bookmarkStart w:id="0" w:name="_Hlk21775355"/>
      <w:r>
        <w:rPr>
          <w:rFonts w:hint="eastAsia" w:ascii="仿宋" w:hAnsi="仿宋" w:eastAsia="仿宋"/>
          <w:sz w:val="32"/>
          <w:szCs w:val="32"/>
        </w:rPr>
        <w:t>本部门2018年度因公出国（境）团组0个、共0人/参加其他单位组织的因公出国（境）团组0个、共0人/无本单位组织的出国（境）团组。</w:t>
      </w:r>
      <w:r>
        <w:rPr>
          <w:rFonts w:ascii="仿宋" w:hAnsi="仿宋" w:eastAsia="仿宋"/>
          <w:sz w:val="32"/>
          <w:szCs w:val="32"/>
        </w:rPr>
        <w:t>因公出国（境）费支出</w:t>
      </w:r>
      <w:r>
        <w:rPr>
          <w:rFonts w:hint="eastAsia" w:ascii="仿宋" w:hAnsi="仿宋" w:eastAsia="仿宋"/>
          <w:sz w:val="32"/>
          <w:szCs w:val="32"/>
        </w:rPr>
        <w:t>比</w:t>
      </w:r>
      <w:r>
        <w:rPr>
          <w:rFonts w:ascii="仿宋" w:hAnsi="仿宋" w:eastAsia="仿宋"/>
          <w:sz w:val="32"/>
          <w:szCs w:val="32"/>
        </w:rPr>
        <w:t>年初预算增加</w:t>
      </w:r>
      <w:r>
        <w:rPr>
          <w:rFonts w:hint="eastAsia" w:ascii="仿宋" w:hAnsi="仿宋" w:eastAsia="仿宋"/>
          <w:sz w:val="32"/>
          <w:szCs w:val="32"/>
        </w:rPr>
        <w:t>0</w:t>
      </w:r>
      <w:r>
        <w:rPr>
          <w:rFonts w:ascii="仿宋" w:hAnsi="仿宋" w:eastAsia="仿宋"/>
          <w:sz w:val="32"/>
          <w:szCs w:val="32"/>
        </w:rPr>
        <w:t>万元，增长</w:t>
      </w:r>
      <w:r>
        <w:rPr>
          <w:rFonts w:hint="eastAsia" w:ascii="仿宋" w:hAnsi="仿宋" w:eastAsia="仿宋"/>
          <w:sz w:val="32"/>
          <w:szCs w:val="32"/>
        </w:rPr>
        <w:t>0</w:t>
      </w:r>
      <w:r>
        <w:rPr>
          <w:rFonts w:ascii="仿宋" w:hAnsi="仿宋" w:eastAsia="仿宋"/>
          <w:sz w:val="32"/>
          <w:szCs w:val="32"/>
        </w:rPr>
        <w:t>%，主要是</w:t>
      </w:r>
      <w:r>
        <w:rPr>
          <w:rFonts w:hint="eastAsia" w:ascii="仿宋" w:hAnsi="仿宋" w:eastAsia="仿宋"/>
          <w:sz w:val="32"/>
          <w:szCs w:val="32"/>
        </w:rPr>
        <w:t>与年初预算无增减变化</w:t>
      </w:r>
      <w:r>
        <w:rPr>
          <w:rFonts w:ascii="仿宋" w:hAnsi="仿宋" w:eastAsia="仿宋"/>
          <w:sz w:val="32"/>
          <w:szCs w:val="32"/>
        </w:rPr>
        <w:t>；</w:t>
      </w:r>
      <w:r>
        <w:rPr>
          <w:rFonts w:hint="eastAsia" w:ascii="仿宋" w:hAnsi="仿宋" w:eastAsia="仿宋"/>
          <w:sz w:val="32"/>
          <w:szCs w:val="32"/>
        </w:rPr>
        <w:t>比</w:t>
      </w:r>
      <w:r>
        <w:rPr>
          <w:rFonts w:ascii="仿宋" w:hAnsi="仿宋" w:eastAsia="仿宋"/>
          <w:sz w:val="32"/>
          <w:szCs w:val="32"/>
        </w:rPr>
        <w:t>201</w:t>
      </w:r>
      <w:r>
        <w:rPr>
          <w:rFonts w:hint="eastAsia" w:ascii="仿宋" w:hAnsi="仿宋" w:eastAsia="仿宋"/>
          <w:sz w:val="32"/>
          <w:szCs w:val="32"/>
        </w:rPr>
        <w:t>7</w:t>
      </w:r>
      <w:r>
        <w:rPr>
          <w:rFonts w:ascii="仿宋" w:hAnsi="仿宋" w:eastAsia="仿宋"/>
          <w:sz w:val="32"/>
          <w:szCs w:val="32"/>
        </w:rPr>
        <w:t>年度决算增加</w:t>
      </w:r>
      <w:r>
        <w:rPr>
          <w:rFonts w:hint="eastAsia" w:ascii="仿宋" w:hAnsi="仿宋" w:eastAsia="仿宋"/>
          <w:sz w:val="32"/>
          <w:szCs w:val="32"/>
        </w:rPr>
        <w:t>0</w:t>
      </w:r>
      <w:r>
        <w:rPr>
          <w:rFonts w:ascii="仿宋" w:hAnsi="仿宋" w:eastAsia="仿宋"/>
          <w:sz w:val="32"/>
          <w:szCs w:val="32"/>
        </w:rPr>
        <w:t>万元，增长</w:t>
      </w:r>
      <w:r>
        <w:rPr>
          <w:rFonts w:hint="eastAsia" w:ascii="仿宋" w:hAnsi="仿宋" w:eastAsia="仿宋"/>
          <w:sz w:val="32"/>
          <w:szCs w:val="32"/>
        </w:rPr>
        <w:t>0</w:t>
      </w:r>
      <w:r>
        <w:rPr>
          <w:rFonts w:ascii="仿宋" w:hAnsi="仿宋" w:eastAsia="仿宋"/>
          <w:sz w:val="32"/>
          <w:szCs w:val="32"/>
        </w:rPr>
        <w:t>%，主要是</w:t>
      </w:r>
      <w:r>
        <w:rPr>
          <w:rFonts w:hint="eastAsia" w:ascii="仿宋" w:hAnsi="仿宋" w:eastAsia="仿宋"/>
          <w:sz w:val="32"/>
          <w:szCs w:val="32"/>
        </w:rPr>
        <w:t>与2017年决算无增减变化</w:t>
      </w:r>
      <w:r>
        <w:rPr>
          <w:rFonts w:ascii="仿宋" w:hAnsi="仿宋" w:eastAsia="仿宋"/>
          <w:sz w:val="32"/>
          <w:szCs w:val="32"/>
        </w:rPr>
        <w:t>。</w:t>
      </w:r>
    </w:p>
    <w:p>
      <w:pPr>
        <w:adjustRightInd w:val="0"/>
        <w:snapToGrid w:val="0"/>
        <w:spacing w:line="584" w:lineRule="exact"/>
        <w:ind w:firstLine="643" w:firstLineChars="200"/>
        <w:rPr>
          <w:rFonts w:ascii="仿宋" w:hAnsi="仿宋" w:eastAsia="仿宋"/>
          <w:sz w:val="32"/>
          <w:szCs w:val="32"/>
        </w:rPr>
      </w:pPr>
      <w:r>
        <w:rPr>
          <w:rFonts w:ascii="楷体" w:hAnsi="楷体" w:eastAsia="楷体" w:cs="DengXian-Bold"/>
          <w:b/>
          <w:bCs/>
          <w:sz w:val="32"/>
          <w:szCs w:val="32"/>
        </w:rPr>
        <w:t>（二）公务用车购置及运行维护费支出</w:t>
      </w:r>
      <w:r>
        <w:rPr>
          <w:rFonts w:hint="eastAsia" w:ascii="楷体" w:hAnsi="楷体" w:eastAsia="楷体" w:cs="DengXian-Bold"/>
          <w:b/>
          <w:bCs/>
          <w:sz w:val="32"/>
          <w:szCs w:val="32"/>
        </w:rPr>
        <w:t>0</w:t>
      </w:r>
      <w:r>
        <w:rPr>
          <w:rFonts w:ascii="楷体" w:hAnsi="楷体" w:eastAsia="楷体" w:cs="DengXian-Bold"/>
          <w:b/>
          <w:bCs/>
          <w:sz w:val="32"/>
          <w:szCs w:val="32"/>
        </w:rPr>
        <w:t>万元。</w:t>
      </w:r>
      <w:r>
        <w:rPr>
          <w:rFonts w:hint="eastAsia" w:ascii="仿宋" w:hAnsi="仿宋" w:eastAsia="仿宋"/>
          <w:sz w:val="32"/>
          <w:szCs w:val="32"/>
        </w:rPr>
        <w:t>本部门2018年度公务用车购置及运行维护费比年初预算</w:t>
      </w:r>
      <w:r>
        <w:rPr>
          <w:rFonts w:ascii="仿宋" w:hAnsi="仿宋" w:eastAsia="仿宋"/>
          <w:sz w:val="32"/>
          <w:szCs w:val="32"/>
        </w:rPr>
        <w:t>增加</w:t>
      </w:r>
      <w:r>
        <w:rPr>
          <w:rFonts w:hint="eastAsia" w:ascii="仿宋" w:hAnsi="仿宋" w:eastAsia="仿宋"/>
          <w:sz w:val="32"/>
          <w:szCs w:val="32"/>
        </w:rPr>
        <w:t>0</w:t>
      </w:r>
      <w:r>
        <w:rPr>
          <w:rFonts w:ascii="仿宋" w:hAnsi="仿宋" w:eastAsia="仿宋"/>
          <w:sz w:val="32"/>
          <w:szCs w:val="32"/>
        </w:rPr>
        <w:t>万元</w:t>
      </w:r>
      <w:r>
        <w:rPr>
          <w:rFonts w:hint="eastAsia" w:ascii="仿宋" w:hAnsi="仿宋" w:eastAsia="仿宋"/>
          <w:sz w:val="32"/>
          <w:szCs w:val="32"/>
        </w:rPr>
        <w:t>，</w:t>
      </w:r>
      <w:r>
        <w:rPr>
          <w:rFonts w:ascii="仿宋" w:hAnsi="仿宋" w:eastAsia="仿宋"/>
          <w:sz w:val="32"/>
          <w:szCs w:val="32"/>
        </w:rPr>
        <w:t>增长</w:t>
      </w:r>
      <w:r>
        <w:rPr>
          <w:rFonts w:hint="eastAsia" w:ascii="仿宋" w:hAnsi="仿宋" w:eastAsia="仿宋"/>
          <w:sz w:val="32"/>
          <w:szCs w:val="32"/>
        </w:rPr>
        <w:t>0</w:t>
      </w:r>
      <w:r>
        <w:rPr>
          <w:rFonts w:ascii="仿宋" w:hAnsi="仿宋" w:eastAsia="仿宋"/>
          <w:sz w:val="32"/>
          <w:szCs w:val="32"/>
        </w:rPr>
        <w:t>%</w:t>
      </w:r>
      <w:r>
        <w:rPr>
          <w:rFonts w:hint="eastAsia" w:ascii="仿宋" w:hAnsi="仿宋" w:eastAsia="仿宋"/>
          <w:sz w:val="32"/>
          <w:szCs w:val="32"/>
        </w:rPr>
        <w:t>,主要是与年初预算无增减变化；比</w:t>
      </w:r>
      <w:r>
        <w:rPr>
          <w:rFonts w:ascii="仿宋" w:hAnsi="仿宋" w:eastAsia="仿宋"/>
          <w:sz w:val="32"/>
          <w:szCs w:val="32"/>
        </w:rPr>
        <w:t>201</w:t>
      </w:r>
      <w:r>
        <w:rPr>
          <w:rFonts w:hint="eastAsia" w:ascii="仿宋" w:hAnsi="仿宋" w:eastAsia="仿宋"/>
          <w:sz w:val="32"/>
          <w:szCs w:val="32"/>
        </w:rPr>
        <w:t>7</w:t>
      </w:r>
      <w:r>
        <w:rPr>
          <w:rFonts w:ascii="仿宋" w:hAnsi="仿宋" w:eastAsia="仿宋"/>
          <w:sz w:val="32"/>
          <w:szCs w:val="32"/>
        </w:rPr>
        <w:t>年度决算增加</w:t>
      </w:r>
      <w:r>
        <w:rPr>
          <w:rFonts w:hint="eastAsia" w:ascii="仿宋" w:hAnsi="仿宋" w:eastAsia="仿宋"/>
          <w:sz w:val="32"/>
          <w:szCs w:val="32"/>
        </w:rPr>
        <w:t>0</w:t>
      </w:r>
      <w:r>
        <w:rPr>
          <w:rFonts w:ascii="仿宋" w:hAnsi="仿宋" w:eastAsia="仿宋"/>
          <w:sz w:val="32"/>
          <w:szCs w:val="32"/>
        </w:rPr>
        <w:t>万元，增长</w:t>
      </w:r>
      <w:r>
        <w:rPr>
          <w:rFonts w:hint="eastAsia" w:ascii="仿宋" w:hAnsi="仿宋" w:eastAsia="仿宋"/>
          <w:sz w:val="32"/>
          <w:szCs w:val="32"/>
        </w:rPr>
        <w:t>0</w:t>
      </w:r>
      <w:r>
        <w:rPr>
          <w:rFonts w:ascii="仿宋" w:hAnsi="仿宋" w:eastAsia="仿宋"/>
          <w:sz w:val="32"/>
          <w:szCs w:val="32"/>
        </w:rPr>
        <w:t>%，主要</w:t>
      </w:r>
      <w:r>
        <w:rPr>
          <w:rFonts w:hint="eastAsia" w:ascii="仿宋" w:hAnsi="仿宋" w:eastAsia="仿宋"/>
          <w:sz w:val="32"/>
          <w:szCs w:val="32"/>
        </w:rPr>
        <w:t>是与2017年决算无增减变化</w:t>
      </w:r>
      <w:r>
        <w:rPr>
          <w:rFonts w:ascii="仿宋" w:hAnsi="仿宋" w:eastAsia="仿宋"/>
          <w:sz w:val="32"/>
          <w:szCs w:val="32"/>
        </w:rPr>
        <w:t>。</w:t>
      </w:r>
      <w:r>
        <w:rPr>
          <w:rFonts w:hint="eastAsia" w:ascii="仿宋" w:hAnsi="仿宋" w:eastAsia="仿宋"/>
          <w:sz w:val="32"/>
          <w:szCs w:val="32"/>
        </w:rPr>
        <w:t>其中：</w:t>
      </w:r>
    </w:p>
    <w:p>
      <w:pPr>
        <w:adjustRightInd w:val="0"/>
        <w:snapToGrid w:val="0"/>
        <w:spacing w:line="584" w:lineRule="exact"/>
        <w:ind w:firstLine="643" w:firstLineChars="200"/>
        <w:rPr>
          <w:rFonts w:ascii="仿宋" w:hAnsi="仿宋" w:eastAsia="仿宋"/>
          <w:sz w:val="32"/>
          <w:szCs w:val="32"/>
        </w:rPr>
      </w:pPr>
      <w:r>
        <w:rPr>
          <w:rFonts w:ascii="仿宋" w:hAnsi="仿宋" w:eastAsia="仿宋"/>
          <w:b/>
          <w:sz w:val="32"/>
          <w:szCs w:val="32"/>
        </w:rPr>
        <w:t>公务用车购置费支出</w:t>
      </w:r>
      <w:r>
        <w:rPr>
          <w:rFonts w:hint="eastAsia" w:ascii="仿宋" w:hAnsi="仿宋" w:eastAsia="仿宋"/>
          <w:b/>
          <w:sz w:val="32"/>
          <w:szCs w:val="32"/>
        </w:rPr>
        <w:t>0</w:t>
      </w:r>
      <w:r>
        <w:rPr>
          <w:rFonts w:ascii="仿宋" w:hAnsi="仿宋" w:eastAsia="仿宋"/>
          <w:b/>
          <w:sz w:val="32"/>
          <w:szCs w:val="32"/>
        </w:rPr>
        <w:t>万元。</w:t>
      </w:r>
      <w:r>
        <w:rPr>
          <w:rFonts w:ascii="仿宋" w:hAnsi="仿宋" w:eastAsia="仿宋"/>
          <w:sz w:val="32"/>
          <w:szCs w:val="32"/>
        </w:rPr>
        <w:t>本部门201</w:t>
      </w:r>
      <w:r>
        <w:rPr>
          <w:rFonts w:hint="eastAsia" w:ascii="仿宋" w:hAnsi="仿宋" w:eastAsia="仿宋"/>
          <w:sz w:val="32"/>
          <w:szCs w:val="32"/>
        </w:rPr>
        <w:t>8</w:t>
      </w:r>
      <w:r>
        <w:rPr>
          <w:rFonts w:ascii="仿宋" w:hAnsi="仿宋" w:eastAsia="仿宋"/>
          <w:sz w:val="32"/>
          <w:szCs w:val="32"/>
        </w:rPr>
        <w:t>年度公务用车购置数量</w:t>
      </w:r>
      <w:r>
        <w:rPr>
          <w:rFonts w:hint="eastAsia" w:ascii="仿宋" w:hAnsi="仿宋" w:eastAsia="仿宋"/>
          <w:sz w:val="32"/>
          <w:szCs w:val="32"/>
        </w:rPr>
        <w:t>0</w:t>
      </w:r>
      <w:r>
        <w:rPr>
          <w:rFonts w:ascii="仿宋" w:hAnsi="仿宋" w:eastAsia="仿宋"/>
          <w:sz w:val="32"/>
          <w:szCs w:val="32"/>
        </w:rPr>
        <w:t>辆。公务用车购置费支出</w:t>
      </w:r>
      <w:r>
        <w:rPr>
          <w:rFonts w:hint="eastAsia" w:ascii="仿宋" w:hAnsi="仿宋" w:eastAsia="仿宋"/>
          <w:sz w:val="32"/>
          <w:szCs w:val="32"/>
        </w:rPr>
        <w:t>比</w:t>
      </w:r>
      <w:r>
        <w:rPr>
          <w:rFonts w:ascii="仿宋" w:hAnsi="仿宋" w:eastAsia="仿宋"/>
          <w:sz w:val="32"/>
          <w:szCs w:val="32"/>
        </w:rPr>
        <w:t>年初预算增加</w:t>
      </w:r>
      <w:r>
        <w:rPr>
          <w:rFonts w:hint="eastAsia" w:ascii="仿宋" w:hAnsi="仿宋" w:eastAsia="仿宋"/>
          <w:sz w:val="32"/>
          <w:szCs w:val="32"/>
        </w:rPr>
        <w:t>0</w:t>
      </w:r>
      <w:r>
        <w:rPr>
          <w:rFonts w:ascii="仿宋" w:hAnsi="仿宋" w:eastAsia="仿宋"/>
          <w:sz w:val="32"/>
          <w:szCs w:val="32"/>
        </w:rPr>
        <w:t>万元，增长</w:t>
      </w:r>
      <w:r>
        <w:rPr>
          <w:rFonts w:hint="eastAsia" w:ascii="仿宋" w:hAnsi="仿宋" w:eastAsia="仿宋"/>
          <w:sz w:val="32"/>
          <w:szCs w:val="32"/>
        </w:rPr>
        <w:t>0</w:t>
      </w:r>
      <w:r>
        <w:rPr>
          <w:rFonts w:ascii="仿宋" w:hAnsi="仿宋" w:eastAsia="仿宋"/>
          <w:sz w:val="32"/>
          <w:szCs w:val="32"/>
        </w:rPr>
        <w:t>%，主要是</w:t>
      </w:r>
      <w:r>
        <w:rPr>
          <w:rFonts w:hint="eastAsia" w:ascii="仿宋" w:hAnsi="仿宋" w:eastAsia="仿宋"/>
          <w:sz w:val="32"/>
          <w:szCs w:val="32"/>
        </w:rPr>
        <w:t>与年初预算无增减变化</w:t>
      </w:r>
      <w:r>
        <w:rPr>
          <w:rFonts w:ascii="仿宋" w:hAnsi="仿宋" w:eastAsia="仿宋"/>
          <w:sz w:val="32"/>
          <w:szCs w:val="32"/>
        </w:rPr>
        <w:t>；</w:t>
      </w:r>
      <w:r>
        <w:rPr>
          <w:rFonts w:hint="eastAsia" w:ascii="仿宋" w:hAnsi="仿宋" w:eastAsia="仿宋"/>
          <w:sz w:val="32"/>
          <w:szCs w:val="32"/>
        </w:rPr>
        <w:t>比</w:t>
      </w:r>
      <w:r>
        <w:rPr>
          <w:rFonts w:ascii="仿宋" w:hAnsi="仿宋" w:eastAsia="仿宋"/>
          <w:sz w:val="32"/>
          <w:szCs w:val="32"/>
        </w:rPr>
        <w:t>201</w:t>
      </w:r>
      <w:r>
        <w:rPr>
          <w:rFonts w:hint="eastAsia" w:ascii="仿宋" w:hAnsi="仿宋" w:eastAsia="仿宋"/>
          <w:sz w:val="32"/>
          <w:szCs w:val="32"/>
        </w:rPr>
        <w:t>7</w:t>
      </w:r>
      <w:r>
        <w:rPr>
          <w:rFonts w:ascii="仿宋" w:hAnsi="仿宋" w:eastAsia="仿宋"/>
          <w:sz w:val="32"/>
          <w:szCs w:val="32"/>
        </w:rPr>
        <w:t>年度决算增加</w:t>
      </w:r>
      <w:r>
        <w:rPr>
          <w:rFonts w:hint="eastAsia" w:ascii="仿宋" w:hAnsi="仿宋" w:eastAsia="仿宋"/>
          <w:sz w:val="32"/>
          <w:szCs w:val="32"/>
        </w:rPr>
        <w:t>0</w:t>
      </w:r>
      <w:r>
        <w:rPr>
          <w:rFonts w:ascii="仿宋" w:hAnsi="仿宋" w:eastAsia="仿宋"/>
          <w:sz w:val="32"/>
          <w:szCs w:val="32"/>
        </w:rPr>
        <w:t>万元，增长</w:t>
      </w:r>
      <w:r>
        <w:rPr>
          <w:rFonts w:hint="eastAsia" w:ascii="仿宋" w:hAnsi="仿宋" w:eastAsia="仿宋"/>
          <w:sz w:val="32"/>
          <w:szCs w:val="32"/>
        </w:rPr>
        <w:t>0</w:t>
      </w:r>
      <w:r>
        <w:rPr>
          <w:rFonts w:ascii="仿宋" w:hAnsi="仿宋" w:eastAsia="仿宋"/>
          <w:sz w:val="32"/>
          <w:szCs w:val="32"/>
        </w:rPr>
        <w:t>%，主要是</w:t>
      </w:r>
      <w:r>
        <w:rPr>
          <w:rFonts w:hint="eastAsia" w:ascii="仿宋" w:hAnsi="仿宋" w:eastAsia="仿宋"/>
          <w:sz w:val="32"/>
          <w:szCs w:val="32"/>
        </w:rPr>
        <w:t>与2017年决算无增减变化。</w:t>
      </w:r>
    </w:p>
    <w:p>
      <w:pPr>
        <w:adjustRightInd w:val="0"/>
        <w:snapToGrid w:val="0"/>
        <w:spacing w:line="584" w:lineRule="exact"/>
        <w:ind w:firstLine="643" w:firstLineChars="200"/>
        <w:rPr>
          <w:rFonts w:ascii="仿宋" w:hAnsi="仿宋" w:eastAsia="仿宋"/>
          <w:sz w:val="32"/>
          <w:szCs w:val="32"/>
        </w:rPr>
      </w:pPr>
      <w:r>
        <w:rPr>
          <w:rFonts w:eastAsia="仿宋_GB2312"/>
          <w:b/>
          <w:sz w:val="32"/>
          <w:szCs w:val="32"/>
        </w:rPr>
        <w:t>公务用车运行维护费支出</w:t>
      </w:r>
      <w:r>
        <w:rPr>
          <w:rFonts w:hint="eastAsia" w:eastAsiaTheme="minorEastAsia"/>
          <w:b/>
          <w:sz w:val="32"/>
          <w:szCs w:val="32"/>
        </w:rPr>
        <w:t>0</w:t>
      </w:r>
      <w:r>
        <w:rPr>
          <w:rFonts w:eastAsia="仿宋_GB2312"/>
          <w:b/>
          <w:sz w:val="32"/>
          <w:szCs w:val="32"/>
        </w:rPr>
        <w:t>万元。</w:t>
      </w:r>
      <w:r>
        <w:rPr>
          <w:rFonts w:ascii="仿宋" w:hAnsi="仿宋" w:eastAsia="仿宋"/>
          <w:sz w:val="32"/>
          <w:szCs w:val="32"/>
        </w:rPr>
        <w:t>本部门201</w:t>
      </w:r>
      <w:r>
        <w:rPr>
          <w:rFonts w:hint="eastAsia" w:ascii="仿宋" w:hAnsi="仿宋" w:eastAsia="仿宋"/>
          <w:sz w:val="32"/>
          <w:szCs w:val="32"/>
        </w:rPr>
        <w:t>8</w:t>
      </w:r>
      <w:r>
        <w:rPr>
          <w:rFonts w:ascii="仿宋" w:hAnsi="仿宋" w:eastAsia="仿宋"/>
          <w:sz w:val="32"/>
          <w:szCs w:val="32"/>
        </w:rPr>
        <w:t>年末单位公务用车保有量</w:t>
      </w:r>
      <w:r>
        <w:rPr>
          <w:rFonts w:hint="eastAsia" w:ascii="仿宋" w:hAnsi="仿宋" w:eastAsia="仿宋"/>
          <w:sz w:val="32"/>
          <w:szCs w:val="32"/>
        </w:rPr>
        <w:t>0</w:t>
      </w:r>
      <w:r>
        <w:rPr>
          <w:rFonts w:ascii="仿宋" w:hAnsi="仿宋" w:eastAsia="仿宋"/>
          <w:sz w:val="32"/>
          <w:szCs w:val="32"/>
        </w:rPr>
        <w:t>辆。公车运行维护费支出</w:t>
      </w:r>
      <w:r>
        <w:rPr>
          <w:rFonts w:hint="eastAsia" w:ascii="仿宋" w:hAnsi="仿宋" w:eastAsia="仿宋"/>
          <w:sz w:val="32"/>
          <w:szCs w:val="32"/>
        </w:rPr>
        <w:t>比</w:t>
      </w:r>
      <w:r>
        <w:rPr>
          <w:rFonts w:ascii="仿宋" w:hAnsi="仿宋" w:eastAsia="仿宋"/>
          <w:sz w:val="32"/>
          <w:szCs w:val="32"/>
        </w:rPr>
        <w:t>年初预算增加</w:t>
      </w:r>
      <w:r>
        <w:rPr>
          <w:rFonts w:hint="eastAsia" w:ascii="仿宋" w:hAnsi="仿宋" w:eastAsia="仿宋"/>
          <w:sz w:val="32"/>
          <w:szCs w:val="32"/>
        </w:rPr>
        <w:t>0</w:t>
      </w:r>
      <w:r>
        <w:rPr>
          <w:rFonts w:ascii="仿宋" w:hAnsi="仿宋" w:eastAsia="仿宋"/>
          <w:sz w:val="32"/>
          <w:szCs w:val="32"/>
        </w:rPr>
        <w:t>万元，增长</w:t>
      </w:r>
      <w:r>
        <w:rPr>
          <w:rFonts w:hint="eastAsia" w:ascii="仿宋" w:hAnsi="仿宋" w:eastAsia="仿宋"/>
          <w:sz w:val="32"/>
          <w:szCs w:val="32"/>
        </w:rPr>
        <w:t>0</w:t>
      </w:r>
      <w:r>
        <w:rPr>
          <w:rFonts w:ascii="仿宋" w:hAnsi="仿宋" w:eastAsia="仿宋"/>
          <w:sz w:val="32"/>
          <w:szCs w:val="32"/>
        </w:rPr>
        <w:t>%，主要是</w:t>
      </w:r>
      <w:r>
        <w:rPr>
          <w:rFonts w:hint="eastAsia" w:ascii="仿宋" w:hAnsi="仿宋" w:eastAsia="仿宋"/>
          <w:sz w:val="32"/>
          <w:szCs w:val="32"/>
        </w:rPr>
        <w:t>与年初预算无增减变化</w:t>
      </w:r>
      <w:r>
        <w:rPr>
          <w:rFonts w:ascii="仿宋" w:hAnsi="仿宋" w:eastAsia="仿宋"/>
          <w:sz w:val="32"/>
          <w:szCs w:val="32"/>
        </w:rPr>
        <w:t>；</w:t>
      </w:r>
      <w:r>
        <w:rPr>
          <w:rFonts w:hint="eastAsia" w:ascii="仿宋" w:hAnsi="仿宋" w:eastAsia="仿宋"/>
          <w:sz w:val="32"/>
          <w:szCs w:val="32"/>
        </w:rPr>
        <w:t>比</w:t>
      </w:r>
      <w:r>
        <w:rPr>
          <w:rFonts w:ascii="仿宋" w:hAnsi="仿宋" w:eastAsia="仿宋"/>
          <w:sz w:val="32"/>
          <w:szCs w:val="32"/>
        </w:rPr>
        <w:t>201</w:t>
      </w:r>
      <w:r>
        <w:rPr>
          <w:rFonts w:hint="eastAsia" w:ascii="仿宋" w:hAnsi="仿宋" w:eastAsia="仿宋"/>
          <w:sz w:val="32"/>
          <w:szCs w:val="32"/>
        </w:rPr>
        <w:t>7</w:t>
      </w:r>
      <w:r>
        <w:rPr>
          <w:rFonts w:ascii="仿宋" w:hAnsi="仿宋" w:eastAsia="仿宋"/>
          <w:sz w:val="32"/>
          <w:szCs w:val="32"/>
        </w:rPr>
        <w:t>年度决算增加（</w:t>
      </w:r>
      <w:r>
        <w:rPr>
          <w:rFonts w:hint="eastAsia" w:ascii="仿宋" w:hAnsi="仿宋" w:eastAsia="仿宋"/>
          <w:sz w:val="32"/>
          <w:szCs w:val="32"/>
        </w:rPr>
        <w:t>0</w:t>
      </w:r>
      <w:r>
        <w:rPr>
          <w:rFonts w:ascii="仿宋" w:hAnsi="仿宋" w:eastAsia="仿宋"/>
          <w:sz w:val="32"/>
          <w:szCs w:val="32"/>
        </w:rPr>
        <w:t>万元，增长</w:t>
      </w:r>
      <w:r>
        <w:rPr>
          <w:rFonts w:hint="eastAsia" w:ascii="仿宋" w:hAnsi="仿宋" w:eastAsia="仿宋"/>
          <w:sz w:val="32"/>
          <w:szCs w:val="32"/>
        </w:rPr>
        <w:t>0</w:t>
      </w:r>
      <w:r>
        <w:rPr>
          <w:rFonts w:ascii="仿宋" w:hAnsi="仿宋" w:eastAsia="仿宋"/>
          <w:sz w:val="32"/>
          <w:szCs w:val="32"/>
        </w:rPr>
        <w:t>%，主要是</w:t>
      </w:r>
      <w:r>
        <w:rPr>
          <w:rFonts w:hint="eastAsia" w:ascii="仿宋" w:hAnsi="仿宋" w:eastAsia="仿宋"/>
          <w:sz w:val="32"/>
          <w:szCs w:val="32"/>
        </w:rPr>
        <w:t>与2017年决算无增减变化。</w:t>
      </w:r>
    </w:p>
    <w:p>
      <w:pPr>
        <w:adjustRightInd w:val="0"/>
        <w:snapToGrid w:val="0"/>
        <w:spacing w:line="584" w:lineRule="exact"/>
        <w:ind w:firstLine="643" w:firstLineChars="200"/>
        <w:rPr>
          <w:rFonts w:ascii="仿宋" w:hAnsi="仿宋" w:eastAsia="仿宋"/>
          <w:sz w:val="32"/>
          <w:szCs w:val="32"/>
          <w:highlight w:val="yellow"/>
        </w:rPr>
      </w:pPr>
      <w:r>
        <w:rPr>
          <w:rFonts w:ascii="楷体" w:hAnsi="楷体" w:eastAsia="楷体" w:cs="DengXian-Bold"/>
          <w:b/>
          <w:bCs/>
          <w:sz w:val="32"/>
          <w:szCs w:val="32"/>
        </w:rPr>
        <w:t>（三）公务接待费支出</w:t>
      </w:r>
      <w:r>
        <w:rPr>
          <w:rFonts w:hint="eastAsia" w:ascii="楷体" w:hAnsi="楷体" w:eastAsia="楷体" w:cs="DengXian-Bold"/>
          <w:b/>
          <w:bCs/>
          <w:sz w:val="32"/>
          <w:szCs w:val="32"/>
        </w:rPr>
        <w:t>0</w:t>
      </w:r>
      <w:r>
        <w:rPr>
          <w:rFonts w:ascii="楷体" w:hAnsi="楷体" w:eastAsia="楷体" w:cs="DengXian-Bold"/>
          <w:b/>
          <w:bCs/>
          <w:sz w:val="32"/>
          <w:szCs w:val="32"/>
        </w:rPr>
        <w:t>万元。</w:t>
      </w:r>
      <w:r>
        <w:rPr>
          <w:rFonts w:eastAsia="仿宋_GB2312"/>
          <w:sz w:val="32"/>
          <w:szCs w:val="32"/>
        </w:rPr>
        <w:t>本部门201</w:t>
      </w:r>
      <w:r>
        <w:rPr>
          <w:rFonts w:hint="eastAsia" w:eastAsia="仿宋_GB2312"/>
          <w:sz w:val="32"/>
          <w:szCs w:val="32"/>
        </w:rPr>
        <w:t>8</w:t>
      </w:r>
      <w:r>
        <w:rPr>
          <w:rFonts w:eastAsia="仿宋_GB2312"/>
          <w:sz w:val="32"/>
          <w:szCs w:val="32"/>
        </w:rPr>
        <w:t>年度公务接待共</w:t>
      </w:r>
      <w:r>
        <w:rPr>
          <w:rFonts w:hint="eastAsia" w:eastAsiaTheme="minorEastAsia"/>
          <w:sz w:val="32"/>
          <w:szCs w:val="32"/>
        </w:rPr>
        <w:t>0</w:t>
      </w:r>
      <w:r>
        <w:rPr>
          <w:rFonts w:eastAsia="仿宋_GB2312"/>
          <w:sz w:val="32"/>
          <w:szCs w:val="32"/>
        </w:rPr>
        <w:t>批次、</w:t>
      </w:r>
      <w:r>
        <w:rPr>
          <w:rFonts w:hint="eastAsia" w:eastAsiaTheme="minorEastAsia"/>
          <w:sz w:val="32"/>
          <w:szCs w:val="32"/>
        </w:rPr>
        <w:t>0</w:t>
      </w:r>
      <w:r>
        <w:rPr>
          <w:rFonts w:eastAsia="仿宋_GB2312"/>
          <w:sz w:val="32"/>
          <w:szCs w:val="32"/>
        </w:rPr>
        <w:t>人次。公务接待费支出</w:t>
      </w:r>
      <w:r>
        <w:rPr>
          <w:rFonts w:hint="eastAsia" w:eastAsia="仿宋_GB2312"/>
          <w:sz w:val="32"/>
          <w:szCs w:val="32"/>
        </w:rPr>
        <w:t>比</w:t>
      </w:r>
      <w:r>
        <w:rPr>
          <w:rFonts w:eastAsia="仿宋_GB2312"/>
          <w:sz w:val="32"/>
          <w:szCs w:val="32"/>
        </w:rPr>
        <w:t>年初预算增加</w:t>
      </w:r>
      <w:r>
        <w:rPr>
          <w:rFonts w:hint="eastAsia" w:eastAsiaTheme="minorEastAsia"/>
          <w:sz w:val="32"/>
          <w:szCs w:val="32"/>
        </w:rPr>
        <w:t>0</w:t>
      </w:r>
      <w:r>
        <w:rPr>
          <w:rFonts w:eastAsia="仿宋_GB2312"/>
          <w:sz w:val="32"/>
          <w:szCs w:val="32"/>
        </w:rPr>
        <w:t>万元，增长</w:t>
      </w:r>
      <w:r>
        <w:rPr>
          <w:rFonts w:hint="eastAsia" w:eastAsiaTheme="minorEastAsia"/>
          <w:sz w:val="32"/>
          <w:szCs w:val="32"/>
        </w:rPr>
        <w:t>0</w:t>
      </w:r>
      <w:r>
        <w:rPr>
          <w:rFonts w:eastAsia="仿宋_GB2312"/>
          <w:sz w:val="32"/>
          <w:szCs w:val="32"/>
        </w:rPr>
        <w:t>%，主要是</w:t>
      </w:r>
      <w:r>
        <w:rPr>
          <w:rFonts w:hint="eastAsia" w:ascii="仿宋" w:hAnsi="仿宋" w:eastAsia="仿宋" w:cs="DengXian-Regular"/>
          <w:sz w:val="32"/>
          <w:szCs w:val="32"/>
        </w:rPr>
        <w:t>与年初预算无增减变化</w:t>
      </w:r>
      <w:r>
        <w:rPr>
          <w:rFonts w:eastAsia="仿宋_GB2312"/>
          <w:sz w:val="32"/>
          <w:szCs w:val="32"/>
        </w:rPr>
        <w:t>；</w:t>
      </w:r>
      <w:r>
        <w:rPr>
          <w:rFonts w:hint="eastAsia" w:eastAsia="仿宋_GB2312"/>
          <w:sz w:val="32"/>
          <w:szCs w:val="32"/>
        </w:rPr>
        <w:t>比</w:t>
      </w:r>
      <w:r>
        <w:rPr>
          <w:rFonts w:eastAsia="仿宋_GB2312"/>
          <w:sz w:val="32"/>
          <w:szCs w:val="32"/>
        </w:rPr>
        <w:t>201</w:t>
      </w:r>
      <w:r>
        <w:rPr>
          <w:rFonts w:hint="eastAsia" w:eastAsia="仿宋_GB2312"/>
          <w:sz w:val="32"/>
          <w:szCs w:val="32"/>
        </w:rPr>
        <w:t>7</w:t>
      </w:r>
      <w:r>
        <w:rPr>
          <w:rFonts w:eastAsia="仿宋_GB2312"/>
          <w:sz w:val="32"/>
          <w:szCs w:val="32"/>
        </w:rPr>
        <w:t>年度决算增加</w:t>
      </w:r>
      <w:r>
        <w:rPr>
          <w:rFonts w:hint="eastAsia" w:eastAsiaTheme="minorEastAsia"/>
          <w:sz w:val="32"/>
          <w:szCs w:val="32"/>
        </w:rPr>
        <w:t>0</w:t>
      </w:r>
      <w:r>
        <w:rPr>
          <w:rFonts w:eastAsia="仿宋_GB2312"/>
          <w:sz w:val="32"/>
          <w:szCs w:val="32"/>
        </w:rPr>
        <w:t>万元，增长</w:t>
      </w:r>
      <w:r>
        <w:rPr>
          <w:rFonts w:hint="eastAsia" w:eastAsiaTheme="minorEastAsia"/>
          <w:sz w:val="32"/>
          <w:szCs w:val="32"/>
        </w:rPr>
        <w:t>0</w:t>
      </w:r>
      <w:r>
        <w:rPr>
          <w:rFonts w:eastAsia="仿宋_GB2312"/>
          <w:sz w:val="32"/>
          <w:szCs w:val="32"/>
        </w:rPr>
        <w:t>%，主要是</w:t>
      </w:r>
      <w:r>
        <w:rPr>
          <w:rFonts w:ascii="仿宋" w:hAnsi="仿宋" w:eastAsia="仿宋"/>
          <w:sz w:val="32"/>
          <w:szCs w:val="32"/>
        </w:rPr>
        <w:t>主要是</w:t>
      </w:r>
      <w:r>
        <w:rPr>
          <w:rFonts w:hint="eastAsia" w:ascii="仿宋" w:hAnsi="仿宋" w:eastAsia="仿宋"/>
          <w:sz w:val="32"/>
          <w:szCs w:val="32"/>
        </w:rPr>
        <w:t>与2017年决算无增减变化。</w:t>
      </w:r>
    </w:p>
    <w:bookmarkEnd w:id="0"/>
    <w:p>
      <w:pPr>
        <w:pStyle w:val="3"/>
        <w:spacing w:before="0" w:after="0" w:line="580" w:lineRule="exact"/>
        <w:ind w:firstLine="640" w:firstLineChars="200"/>
        <w:rPr>
          <w:rFonts w:ascii="黑体" w:eastAsia="黑体"/>
          <w:b w:val="0"/>
          <w:bCs w:val="0"/>
        </w:rPr>
      </w:pPr>
      <w:r>
        <w:rPr>
          <w:rFonts w:hint="eastAsia" w:ascii="黑体" w:eastAsia="黑体"/>
          <w:b w:val="0"/>
          <w:bCs w:val="0"/>
        </w:rPr>
        <w:t xml:space="preserve">  六、预算绩效情况说明</w:t>
      </w:r>
    </w:p>
    <w:p>
      <w:pPr>
        <w:adjustRightInd w:val="0"/>
        <w:snapToGrid w:val="0"/>
        <w:spacing w:after="0" w:line="580" w:lineRule="exact"/>
        <w:ind w:firstLine="643" w:firstLineChars="200"/>
        <w:rPr>
          <w:rFonts w:hint="eastAsia" w:ascii="楷体" w:hAnsi="楷体" w:eastAsia="楷体" w:cs="DengXian-Bold"/>
          <w:b/>
          <w:bCs/>
          <w:sz w:val="32"/>
          <w:szCs w:val="32"/>
        </w:rPr>
      </w:pPr>
      <w:r>
        <w:rPr>
          <w:rFonts w:hint="eastAsia" w:ascii="楷体" w:hAnsi="楷体" w:eastAsia="楷体" w:cs="DengXian-Bold"/>
          <w:b/>
          <w:bCs/>
          <w:sz w:val="32"/>
          <w:szCs w:val="32"/>
        </w:rPr>
        <w:t>（一）预算绩效管理工作开展情况</w:t>
      </w:r>
    </w:p>
    <w:p>
      <w:pPr>
        <w:adjustRightInd w:val="0"/>
        <w:snapToGrid w:val="0"/>
        <w:spacing w:after="0" w:line="580" w:lineRule="exact"/>
        <w:ind w:firstLine="640" w:firstLineChars="200"/>
        <w:rPr>
          <w:rFonts w:ascii="仿宋" w:hAnsi="仿宋" w:eastAsia="仿宋"/>
          <w:sz w:val="32"/>
          <w:szCs w:val="32"/>
        </w:rPr>
      </w:pPr>
      <w:r>
        <w:rPr>
          <w:rFonts w:hint="eastAsia" w:ascii="仿宋" w:hAnsi="仿宋" w:eastAsia="仿宋"/>
          <w:sz w:val="32"/>
          <w:szCs w:val="32"/>
        </w:rPr>
        <w:t>根据财政预算绩效管理要求，我单位提升全员素质，在局机关、企业持续推动《粮油储存安全责任暂行规定》、《粮油安全生产守则》、《粮油安全储存守则》的学习贯彻活动，为切实抓好粮油安全储存和安全生产工作奠定了基础；督导储备粮承储企业大力开展规范化、精细化管理，大力推行环流熏蒸、机械通风等先进储粮技术，保障了全县2.3万吨粮食的安全储存，粮食科保水平在省市</w:t>
      </w:r>
      <w:r>
        <w:rPr>
          <w:rFonts w:hint="eastAsia" w:ascii="仿宋" w:hAnsi="仿宋" w:eastAsia="仿宋"/>
          <w:sz w:val="32"/>
          <w:szCs w:val="32"/>
          <w:lang w:val="en-US" w:eastAsia="zh-CN"/>
        </w:rPr>
        <w:t>名列前茅</w:t>
      </w:r>
      <w:r>
        <w:rPr>
          <w:rFonts w:hint="eastAsia" w:ascii="仿宋" w:hAnsi="仿宋" w:eastAsia="仿宋"/>
          <w:sz w:val="32"/>
          <w:szCs w:val="32"/>
        </w:rPr>
        <w:t>，实现绿色低耗储存无事故。积极完成清仓查库任务，根据发改委、国家粮食局《关于开展2017年全国粮食库存检查工作的通知》和省市粮食局的相关精神，结合我县实际，进一步强化细化相关内容和措施，制定下发了《文安县清仓查库具体实施方案》。及时更新了粮食应急保障网络，为确保不可抗拒灾害发生时县域的粮食供应，按照《文安县粮食应急预案》的要求，对我县的粮食应急供应网络进行了重新梳理。按照责任主体资质年检制度对粮食应急加工、运输、储存等环节的责任主体进行了重新确定，明确权责义务，实施定点挂牌管理，确保粮食供应网络运转的连续性、高效性、确保在突发公共安全事件下《粮食应急预案》的有力措施。</w:t>
      </w:r>
    </w:p>
    <w:p>
      <w:pPr>
        <w:adjustRightInd w:val="0"/>
        <w:snapToGrid w:val="0"/>
        <w:spacing w:after="0" w:line="580" w:lineRule="exact"/>
        <w:ind w:firstLine="643" w:firstLineChars="200"/>
        <w:rPr>
          <w:rFonts w:hint="eastAsia" w:ascii="楷体" w:hAnsi="楷体" w:eastAsia="楷体" w:cs="DengXian-Regular"/>
          <w:b/>
          <w:sz w:val="32"/>
          <w:szCs w:val="32"/>
        </w:rPr>
      </w:pPr>
      <w:r>
        <w:rPr>
          <w:rFonts w:hint="eastAsia" w:ascii="楷体" w:hAnsi="楷体" w:eastAsia="楷体" w:cs="DengXian-Regular"/>
          <w:b/>
          <w:sz w:val="32"/>
          <w:szCs w:val="32"/>
        </w:rPr>
        <w:t>（二）项目绩效自评结果</w:t>
      </w:r>
    </w:p>
    <w:p>
      <w:pPr>
        <w:adjustRightInd w:val="0"/>
        <w:snapToGrid w:val="0"/>
        <w:spacing w:after="0" w:line="580" w:lineRule="exact"/>
        <w:ind w:firstLine="640" w:firstLineChars="200"/>
        <w:rPr>
          <w:rFonts w:ascii="仿宋" w:hAnsi="仿宋" w:eastAsia="仿宋"/>
          <w:sz w:val="32"/>
          <w:szCs w:val="32"/>
        </w:rPr>
      </w:pPr>
      <w:r>
        <w:rPr>
          <w:rFonts w:hint="eastAsia" w:ascii="仿宋" w:hAnsi="仿宋" w:eastAsia="仿宋"/>
          <w:sz w:val="32"/>
          <w:szCs w:val="32"/>
        </w:rPr>
        <w:t>强化</w:t>
      </w:r>
      <w:r>
        <w:rPr>
          <w:rFonts w:ascii="仿宋" w:hAnsi="仿宋" w:eastAsia="仿宋"/>
          <w:sz w:val="32"/>
          <w:szCs w:val="32"/>
        </w:rPr>
        <w:t>“</w:t>
      </w:r>
      <w:r>
        <w:rPr>
          <w:rFonts w:hint="eastAsia" w:ascii="仿宋" w:hAnsi="仿宋" w:eastAsia="仿宋"/>
          <w:sz w:val="32"/>
          <w:szCs w:val="32"/>
        </w:rPr>
        <w:t>一规定两手则</w:t>
      </w:r>
      <w:r>
        <w:rPr>
          <w:rFonts w:ascii="仿宋" w:hAnsi="仿宋" w:eastAsia="仿宋"/>
          <w:sz w:val="32"/>
          <w:szCs w:val="32"/>
        </w:rPr>
        <w:t>”</w:t>
      </w:r>
      <w:r>
        <w:rPr>
          <w:rFonts w:hint="eastAsia" w:ascii="仿宋" w:hAnsi="仿宋" w:eastAsia="仿宋"/>
          <w:sz w:val="32"/>
          <w:szCs w:val="32"/>
        </w:rPr>
        <w:t>的落实。实行安全生产目标管理责任制，落实安全生产承诺制度和安全生产责任追究机制，层层分解量化，层层签订安全生产责任书，形成了自上而下一级保一级的安全生产监督管理体系。开展安全生产文虎建设，提高安全生产意识；完善安全生产目标管理的考核标准和办法，严格管理，强化督查，建立了安全生产责任追究机制。三是抓重点防护，结合国有资产月巡查制度，每月对下属企业的危旧房屋进行检查，发现隐患及时限期治理，不拖泥带水。对国有粮食企业实行粮食质量安全承诺制度，建立粮食质量出入库档案制度，规范储粮熏蒸防护药剂的使用，加强药剂残留污染的监测，及时消除粮食质量安全隐患。</w:t>
      </w:r>
    </w:p>
    <w:p>
      <w:pPr>
        <w:adjustRightInd w:val="0"/>
        <w:snapToGrid w:val="0"/>
        <w:spacing w:after="0" w:line="580" w:lineRule="exact"/>
        <w:ind w:firstLine="643" w:firstLineChars="200"/>
        <w:rPr>
          <w:rFonts w:hint="eastAsia" w:ascii="仿宋" w:hAnsi="仿宋" w:eastAsia="仿宋"/>
          <w:sz w:val="32"/>
          <w:szCs w:val="32"/>
        </w:rPr>
      </w:pPr>
      <w:r>
        <w:rPr>
          <w:rFonts w:hint="eastAsia" w:ascii="楷体" w:hAnsi="楷体" w:eastAsia="楷体" w:cs="DengXian-Regular"/>
          <w:b/>
          <w:sz w:val="32"/>
          <w:szCs w:val="32"/>
        </w:rPr>
        <w:t>（三）重点项目绩效评价结果</w:t>
      </w:r>
    </w:p>
    <w:p>
      <w:pPr>
        <w:adjustRightInd w:val="0"/>
        <w:snapToGrid w:val="0"/>
        <w:spacing w:after="0" w:line="580" w:lineRule="exact"/>
        <w:ind w:firstLine="640" w:firstLineChars="200"/>
        <w:rPr>
          <w:rFonts w:ascii="仿宋" w:hAnsi="仿宋" w:eastAsia="仿宋"/>
          <w:sz w:val="32"/>
          <w:szCs w:val="32"/>
        </w:rPr>
      </w:pPr>
      <w:r>
        <w:rPr>
          <w:rFonts w:hint="eastAsia" w:ascii="仿宋" w:hAnsi="仿宋" w:eastAsia="仿宋"/>
          <w:sz w:val="32"/>
          <w:szCs w:val="32"/>
        </w:rPr>
        <w:t>强化粮食监管事中事后管理工作，粮食执法以保障粮食质量安全、打击违法经营、维护经营秩序为中心，保护广大人民群众食品质量安全、企业及个人合法权益。强化粮食流通统计调查职能，提高统计报表企业覆盖面，为确定宏观政策提供科学依据。继续落实</w:t>
      </w:r>
      <w:r>
        <w:rPr>
          <w:rFonts w:ascii="仿宋" w:hAnsi="仿宋" w:eastAsia="仿宋"/>
          <w:sz w:val="32"/>
          <w:szCs w:val="32"/>
        </w:rPr>
        <w:t>“</w:t>
      </w:r>
      <w:r>
        <w:rPr>
          <w:rFonts w:hint="eastAsia" w:ascii="仿宋" w:hAnsi="仿宋" w:eastAsia="仿宋"/>
          <w:sz w:val="32"/>
          <w:szCs w:val="32"/>
        </w:rPr>
        <w:t>一个常态、一个集中整治</w:t>
      </w:r>
      <w:r>
        <w:rPr>
          <w:rFonts w:ascii="仿宋" w:hAnsi="仿宋" w:eastAsia="仿宋"/>
          <w:sz w:val="32"/>
          <w:szCs w:val="32"/>
        </w:rPr>
        <w:t>”</w:t>
      </w:r>
      <w:r>
        <w:rPr>
          <w:rFonts w:hint="eastAsia" w:ascii="仿宋" w:hAnsi="仿宋" w:eastAsia="仿宋"/>
          <w:sz w:val="32"/>
          <w:szCs w:val="32"/>
        </w:rPr>
        <w:t>工作机制，针对粮食深加工企业的粮源进行常态监管，针对粮食收购市场进行集中整治，彻底杜绝陈化粮、霉变粮在我县的存在；做到流入有监管，流出有保障，保障粮食安全、粮食质量安全。</w:t>
      </w:r>
    </w:p>
    <w:p>
      <w:pPr>
        <w:pStyle w:val="3"/>
        <w:spacing w:before="0" w:after="0" w:line="580" w:lineRule="exact"/>
        <w:ind w:firstLine="640" w:firstLineChars="200"/>
        <w:rPr>
          <w:rFonts w:ascii="黑体" w:eastAsia="黑体" w:cs="Times New Roman"/>
          <w:b w:val="0"/>
          <w:bCs w:val="0"/>
        </w:rPr>
      </w:pPr>
      <w:r>
        <w:rPr>
          <w:rFonts w:hint="eastAsia" w:ascii="黑体" w:eastAsia="黑体" w:cs="Times New Roman"/>
          <w:b w:val="0"/>
          <w:bCs w:val="0"/>
        </w:rPr>
        <w:t>七、其他重要事项的说明</w:t>
      </w:r>
    </w:p>
    <w:p>
      <w:pPr>
        <w:pStyle w:val="4"/>
        <w:spacing w:before="0" w:after="0" w:line="580" w:lineRule="exact"/>
        <w:ind w:firstLine="643" w:firstLineChars="200"/>
        <w:rPr>
          <w:rFonts w:ascii="楷体" w:hAnsi="楷体" w:eastAsia="楷体" w:cs="DengXian-Bold"/>
        </w:rPr>
      </w:pPr>
      <w:r>
        <w:rPr>
          <w:rFonts w:hint="eastAsia" w:ascii="楷体" w:hAnsi="楷体" w:eastAsia="楷体" w:cs="DengXian-Bold"/>
        </w:rPr>
        <w:t>（一）机关运行经费情况</w:t>
      </w:r>
    </w:p>
    <w:p>
      <w:pPr>
        <w:adjustRightInd w:val="0"/>
        <w:snapToGrid w:val="0"/>
        <w:spacing w:after="0" w:line="580" w:lineRule="exact"/>
        <w:ind w:firstLine="640" w:firstLineChars="200"/>
        <w:rPr>
          <w:rFonts w:ascii="仿宋" w:hAnsi="仿宋" w:eastAsia="仿宋" w:cs="DengXian-Regular"/>
          <w:sz w:val="32"/>
          <w:szCs w:val="32"/>
        </w:rPr>
      </w:pPr>
      <w:r>
        <w:rPr>
          <w:rFonts w:hint="eastAsia" w:ascii="仿宋" w:hAnsi="仿宋" w:eastAsia="仿宋" w:cs="DengXian-Regular"/>
          <w:sz w:val="32"/>
          <w:szCs w:val="32"/>
        </w:rPr>
        <w:t>本部门2018年度机关运行经费支出1</w:t>
      </w:r>
      <w:r>
        <w:rPr>
          <w:rFonts w:ascii="仿宋" w:hAnsi="仿宋" w:eastAsia="仿宋" w:cs="DengXian-Regular"/>
          <w:sz w:val="32"/>
          <w:szCs w:val="32"/>
        </w:rPr>
        <w:t>8</w:t>
      </w:r>
      <w:r>
        <w:rPr>
          <w:rFonts w:ascii="仿宋" w:hAnsi="仿宋" w:eastAsia="仿宋" w:cs="Calibri"/>
          <w:sz w:val="32"/>
          <w:szCs w:val="32"/>
        </w:rPr>
        <w:t>.</w:t>
      </w:r>
      <w:r>
        <w:rPr>
          <w:rFonts w:hint="eastAsia" w:ascii="仿宋" w:hAnsi="仿宋" w:eastAsia="仿宋" w:cs="仿宋"/>
          <w:sz w:val="32"/>
          <w:szCs w:val="32"/>
        </w:rPr>
        <w:t>49</w:t>
      </w:r>
      <w:r>
        <w:rPr>
          <w:rFonts w:hint="eastAsia" w:ascii="仿宋" w:hAnsi="仿宋" w:eastAsia="仿宋" w:cs="DengXian-Regular"/>
          <w:sz w:val="32"/>
          <w:szCs w:val="32"/>
        </w:rPr>
        <w:t>万元，比年初预算数减少2</w:t>
      </w:r>
      <w:r>
        <w:rPr>
          <w:rFonts w:ascii="仿宋" w:hAnsi="仿宋" w:eastAsia="仿宋" w:cs="Calibri"/>
          <w:sz w:val="32"/>
          <w:szCs w:val="32"/>
        </w:rPr>
        <w:t>.</w:t>
      </w:r>
      <w:r>
        <w:rPr>
          <w:rFonts w:hint="eastAsia" w:ascii="仿宋" w:hAnsi="仿宋" w:eastAsia="仿宋" w:cs="仿宋"/>
          <w:sz w:val="32"/>
          <w:szCs w:val="32"/>
        </w:rPr>
        <w:t>61</w:t>
      </w:r>
      <w:r>
        <w:rPr>
          <w:rFonts w:hint="eastAsia" w:ascii="仿宋" w:hAnsi="仿宋" w:eastAsia="仿宋" w:cs="DengXian-Regular"/>
          <w:sz w:val="32"/>
          <w:szCs w:val="32"/>
        </w:rPr>
        <w:t>万元，降低</w:t>
      </w:r>
      <w:r>
        <w:rPr>
          <w:rFonts w:hint="eastAsia" w:ascii="仿宋" w:hAnsi="仿宋" w:eastAsia="仿宋"/>
          <w:sz w:val="32"/>
          <w:szCs w:val="32"/>
        </w:rPr>
        <w:t>1</w:t>
      </w:r>
      <w:r>
        <w:rPr>
          <w:rFonts w:ascii="仿宋" w:hAnsi="仿宋" w:eastAsia="仿宋"/>
          <w:sz w:val="32"/>
          <w:szCs w:val="32"/>
        </w:rPr>
        <w:t>2%</w:t>
      </w:r>
      <w:r>
        <w:rPr>
          <w:rFonts w:hint="eastAsia" w:ascii="仿宋" w:hAnsi="仿宋" w:eastAsia="仿宋" w:cs="DengXian-Regular"/>
          <w:sz w:val="32"/>
          <w:szCs w:val="32"/>
        </w:rPr>
        <w:t>。主要是</w:t>
      </w:r>
      <w:r>
        <w:rPr>
          <w:rFonts w:hint="eastAsia" w:ascii="仿宋" w:hAnsi="仿宋" w:eastAsia="仿宋" w:cs="微软雅黑"/>
          <w:sz w:val="32"/>
          <w:szCs w:val="32"/>
        </w:rPr>
        <w:t>我单位压缩了开支</w:t>
      </w:r>
      <w:r>
        <w:rPr>
          <w:rFonts w:hint="eastAsia" w:ascii="仿宋" w:hAnsi="仿宋" w:eastAsia="仿宋" w:cs="DengXian-Regular"/>
          <w:sz w:val="32"/>
          <w:szCs w:val="32"/>
        </w:rPr>
        <w:t>。</w:t>
      </w:r>
      <w:r>
        <w:rPr>
          <w:rFonts w:ascii="仿宋" w:hAnsi="仿宋" w:eastAsia="仿宋"/>
          <w:sz w:val="32"/>
          <w:szCs w:val="32"/>
        </w:rPr>
        <w:t>较201</w:t>
      </w:r>
      <w:r>
        <w:rPr>
          <w:rFonts w:hint="eastAsia" w:ascii="仿宋" w:hAnsi="仿宋" w:eastAsia="仿宋"/>
          <w:sz w:val="32"/>
          <w:szCs w:val="32"/>
        </w:rPr>
        <w:t>7</w:t>
      </w:r>
      <w:r>
        <w:rPr>
          <w:rFonts w:ascii="仿宋" w:hAnsi="仿宋" w:eastAsia="仿宋"/>
          <w:sz w:val="32"/>
          <w:szCs w:val="32"/>
        </w:rPr>
        <w:t>年度决算增加3.47万元，增长</w:t>
      </w:r>
      <w:r>
        <w:rPr>
          <w:rFonts w:hint="eastAsia" w:ascii="仿宋" w:hAnsi="仿宋" w:eastAsia="仿宋"/>
          <w:sz w:val="32"/>
          <w:szCs w:val="32"/>
        </w:rPr>
        <w:t>1</w:t>
      </w:r>
      <w:r>
        <w:rPr>
          <w:rFonts w:ascii="仿宋" w:hAnsi="仿宋" w:eastAsia="仿宋"/>
          <w:sz w:val="32"/>
          <w:szCs w:val="32"/>
        </w:rPr>
        <w:t>8%，主要是</w:t>
      </w:r>
      <w:r>
        <w:rPr>
          <w:rFonts w:hint="eastAsia" w:ascii="仿宋" w:hAnsi="仿宋" w:eastAsia="仿宋"/>
          <w:sz w:val="32"/>
          <w:szCs w:val="32"/>
        </w:rPr>
        <w:t>交通补贴的增加</w:t>
      </w:r>
      <w:r>
        <w:rPr>
          <w:rFonts w:ascii="仿宋" w:hAnsi="仿宋" w:eastAsia="仿宋"/>
          <w:sz w:val="32"/>
          <w:szCs w:val="32"/>
        </w:rPr>
        <w:t>。</w:t>
      </w:r>
    </w:p>
    <w:p>
      <w:pPr>
        <w:pStyle w:val="4"/>
        <w:spacing w:before="0" w:after="0" w:line="580" w:lineRule="exact"/>
        <w:ind w:firstLine="643" w:firstLineChars="200"/>
        <w:rPr>
          <w:rFonts w:ascii="楷体" w:hAnsi="楷体" w:eastAsia="楷体" w:cs="DengXian-Bold"/>
        </w:rPr>
      </w:pPr>
      <w:r>
        <w:rPr>
          <w:rFonts w:hint="eastAsia" w:ascii="楷体" w:hAnsi="楷体" w:eastAsia="楷体" w:cs="DengXian-Bold"/>
        </w:rPr>
        <w:t>（二）政府采购情况</w:t>
      </w:r>
    </w:p>
    <w:p>
      <w:pPr>
        <w:adjustRightInd w:val="0"/>
        <w:snapToGrid w:val="0"/>
        <w:spacing w:after="0" w:line="580" w:lineRule="exact"/>
        <w:ind w:firstLine="640" w:firstLineChars="200"/>
        <w:rPr>
          <w:rFonts w:ascii="仿宋" w:hAnsi="仿宋" w:eastAsia="仿宋" w:cs="DengXian-Regular"/>
          <w:sz w:val="32"/>
          <w:szCs w:val="32"/>
        </w:rPr>
      </w:pPr>
      <w:r>
        <w:rPr>
          <w:rFonts w:hint="eastAsia" w:ascii="仿宋" w:hAnsi="仿宋" w:eastAsia="仿宋" w:cs="DengXian-Regular"/>
          <w:sz w:val="32"/>
          <w:szCs w:val="32"/>
        </w:rPr>
        <w:t>本部门2018年度政府采购支出总额0万元，从采购类型来看，</w:t>
      </w:r>
      <w:r>
        <w:rPr>
          <w:rFonts w:ascii="仿宋" w:hAnsi="仿宋" w:eastAsia="仿宋" w:cs="DengXian-Regular"/>
          <w:sz w:val="32"/>
          <w:szCs w:val="32"/>
        </w:rPr>
        <w:t>政府采购货物支出</w:t>
      </w:r>
      <w:r>
        <w:rPr>
          <w:rFonts w:hint="eastAsia" w:ascii="仿宋" w:hAnsi="仿宋" w:eastAsia="仿宋" w:cs="DengXian-Regular"/>
          <w:sz w:val="32"/>
          <w:szCs w:val="32"/>
        </w:rPr>
        <w:t>0</w:t>
      </w:r>
      <w:r>
        <w:rPr>
          <w:rFonts w:ascii="仿宋" w:hAnsi="仿宋" w:eastAsia="仿宋" w:cs="DengXian-Regular"/>
          <w:sz w:val="32"/>
          <w:szCs w:val="32"/>
        </w:rPr>
        <w:t xml:space="preserve"> 万元、政府采购工程支出</w:t>
      </w:r>
      <w:r>
        <w:rPr>
          <w:rFonts w:hint="eastAsia" w:ascii="仿宋" w:hAnsi="仿宋" w:eastAsia="仿宋" w:cs="DengXian-Regular"/>
          <w:sz w:val="32"/>
          <w:szCs w:val="32"/>
        </w:rPr>
        <w:t>0</w:t>
      </w:r>
      <w:r>
        <w:rPr>
          <w:rFonts w:ascii="仿宋" w:hAnsi="仿宋" w:eastAsia="仿宋" w:cs="DengXian-Regular"/>
          <w:sz w:val="32"/>
          <w:szCs w:val="32"/>
        </w:rPr>
        <w:t xml:space="preserve">万元、政府采购服务支出 </w:t>
      </w:r>
      <w:r>
        <w:rPr>
          <w:rFonts w:hint="eastAsia" w:ascii="仿宋" w:hAnsi="仿宋" w:eastAsia="仿宋" w:cs="DengXian-Regular"/>
          <w:sz w:val="32"/>
          <w:szCs w:val="32"/>
        </w:rPr>
        <w:t>0</w:t>
      </w:r>
      <w:r>
        <w:rPr>
          <w:rFonts w:ascii="仿宋" w:hAnsi="仿宋" w:eastAsia="仿宋" w:cs="DengXian-Regular"/>
          <w:sz w:val="32"/>
          <w:szCs w:val="32"/>
        </w:rPr>
        <w:t>万元。授予中小企业合同金</w:t>
      </w:r>
      <w:r>
        <w:rPr>
          <w:rFonts w:hint="eastAsia" w:ascii="仿宋" w:hAnsi="仿宋" w:eastAsia="仿宋" w:cs="DengXian-Regular"/>
          <w:sz w:val="32"/>
          <w:szCs w:val="32"/>
        </w:rPr>
        <w:t>0</w:t>
      </w:r>
      <w:r>
        <w:rPr>
          <w:rFonts w:ascii="仿宋" w:hAnsi="仿宋" w:eastAsia="仿宋" w:cs="DengXian-Regular"/>
          <w:sz w:val="32"/>
          <w:szCs w:val="32"/>
        </w:rPr>
        <w:t>万元，占政府采购支出总额的</w:t>
      </w:r>
      <w:r>
        <w:rPr>
          <w:rFonts w:hint="eastAsia" w:ascii="仿宋" w:hAnsi="仿宋" w:eastAsia="仿宋" w:cs="DengXian-Regular"/>
          <w:sz w:val="32"/>
          <w:szCs w:val="32"/>
        </w:rPr>
        <w:t>0%，</w:t>
      </w:r>
      <w:r>
        <w:rPr>
          <w:rFonts w:ascii="仿宋" w:hAnsi="仿宋" w:eastAsia="仿宋" w:cs="DengXian-Regular"/>
          <w:sz w:val="32"/>
          <w:szCs w:val="32"/>
        </w:rPr>
        <w:t>其中授予小微企业合同金额</w:t>
      </w:r>
      <w:r>
        <w:rPr>
          <w:rFonts w:hint="eastAsia" w:ascii="仿宋" w:hAnsi="仿宋" w:eastAsia="仿宋" w:cs="DengXian-Regular"/>
          <w:sz w:val="32"/>
          <w:szCs w:val="32"/>
        </w:rPr>
        <w:t>0</w:t>
      </w:r>
      <w:r>
        <w:rPr>
          <w:rFonts w:ascii="仿宋" w:hAnsi="仿宋" w:eastAsia="仿宋" w:cs="DengXian-Regular"/>
          <w:sz w:val="32"/>
          <w:szCs w:val="32"/>
        </w:rPr>
        <w:t xml:space="preserve">万元，占政府采购支出总额的 </w:t>
      </w:r>
      <w:r>
        <w:rPr>
          <w:rFonts w:hint="eastAsia" w:ascii="仿宋" w:hAnsi="仿宋" w:eastAsia="仿宋" w:cs="DengXian-Regular"/>
          <w:sz w:val="32"/>
          <w:szCs w:val="32"/>
        </w:rPr>
        <w:t>0</w:t>
      </w:r>
      <w:r>
        <w:rPr>
          <w:rFonts w:ascii="仿宋" w:hAnsi="仿宋" w:eastAsia="仿宋" w:cs="DengXian-Regular"/>
          <w:sz w:val="32"/>
          <w:szCs w:val="32"/>
        </w:rPr>
        <w:t>%。</w:t>
      </w:r>
    </w:p>
    <w:p>
      <w:pPr>
        <w:pStyle w:val="4"/>
        <w:spacing w:before="0" w:after="0" w:line="580" w:lineRule="exact"/>
        <w:ind w:firstLine="643" w:firstLineChars="200"/>
        <w:rPr>
          <w:rFonts w:ascii="楷体" w:hAnsi="楷体" w:eastAsia="楷体" w:cs="DengXian-Bold"/>
        </w:rPr>
      </w:pPr>
      <w:r>
        <w:rPr>
          <w:rFonts w:hint="eastAsia" w:ascii="楷体" w:hAnsi="楷体" w:eastAsia="楷体" w:cs="DengXian-Bold"/>
        </w:rPr>
        <w:t>（三）国有资产占用情况</w:t>
      </w:r>
    </w:p>
    <w:p>
      <w:pPr>
        <w:adjustRightInd w:val="0"/>
        <w:snapToGrid w:val="0"/>
        <w:spacing w:after="0" w:line="580" w:lineRule="exact"/>
        <w:ind w:firstLine="640" w:firstLineChars="200"/>
        <w:rPr>
          <w:rFonts w:ascii="仿宋" w:hAnsi="仿宋" w:eastAsia="仿宋" w:cs="DengXian-Regular"/>
          <w:sz w:val="32"/>
          <w:szCs w:val="32"/>
        </w:rPr>
      </w:pPr>
      <w:r>
        <w:rPr>
          <w:rFonts w:hint="eastAsia" w:ascii="仿宋" w:hAnsi="仿宋" w:eastAsia="仿宋" w:cs="DengXian-Regular"/>
          <w:sz w:val="32"/>
          <w:szCs w:val="32"/>
        </w:rPr>
        <w:t>截至2018年12月31日，本部门共有车辆0辆，比上年增加0辆，主要是与年初预算无增减变化。其中，副部（省）级及以上领导用车0辆，主要领导干部用车0辆，机要通信用车0辆，应急保障用车0辆，执法执勤用车0辆，特种专业技术用车0辆，离退休干部用车0辆，其他用0辆，；单位价值50万元以上通用设备0台（套），比上年增加0套，主要是预算与上年持平 ，单位价值100万元以上专用设备0台（套），比上年增加,0套,主要是预算与上年持平。</w:t>
      </w:r>
    </w:p>
    <w:p>
      <w:pPr>
        <w:pStyle w:val="4"/>
        <w:spacing w:before="0" w:after="0" w:line="580" w:lineRule="exact"/>
        <w:ind w:firstLine="643" w:firstLineChars="200"/>
        <w:rPr>
          <w:rFonts w:ascii="楷体" w:hAnsi="楷体" w:eastAsia="楷体" w:cs="DengXian-Bold"/>
        </w:rPr>
      </w:pPr>
      <w:r>
        <w:rPr>
          <w:rFonts w:hint="eastAsia" w:ascii="楷体" w:hAnsi="楷体" w:eastAsia="楷体" w:cs="DengXian-Bold"/>
        </w:rPr>
        <w:t>（四）其他需要说明的情况</w:t>
      </w:r>
    </w:p>
    <w:p>
      <w:pPr>
        <w:adjustRightInd w:val="0"/>
        <w:snapToGrid w:val="0"/>
        <w:spacing w:after="0" w:line="580" w:lineRule="exact"/>
        <w:ind w:firstLine="640" w:firstLineChars="200"/>
        <w:rPr>
          <w:rFonts w:ascii="仿宋" w:hAnsi="仿宋" w:eastAsia="仿宋" w:cs="Calibri"/>
          <w:sz w:val="32"/>
          <w:szCs w:val="32"/>
        </w:rPr>
      </w:pPr>
      <w:r>
        <w:rPr>
          <w:rFonts w:hint="eastAsia" w:ascii="仿宋" w:hAnsi="仿宋" w:eastAsia="仿宋" w:cs="DengXian-Regular"/>
          <w:sz w:val="32"/>
          <w:szCs w:val="32"/>
        </w:rPr>
        <w:t>1、本部门2018年度政府性基金预算财政拨款收入支出决算、国有资本经营预算财政拨款支出情况、政府采购情况无收支及结转结余情况，故以空表列示。</w:t>
      </w:r>
    </w:p>
    <w:p>
      <w:pPr>
        <w:adjustRightInd w:val="0"/>
        <w:snapToGrid w:val="0"/>
        <w:spacing w:after="0" w:line="580" w:lineRule="exact"/>
        <w:ind w:firstLine="640" w:firstLineChars="200"/>
        <w:rPr>
          <w:rFonts w:cs="MS-UIGothic,Bold" w:asciiTheme="majorEastAsia" w:hAnsiTheme="majorEastAsia" w:eastAsiaTheme="majorEastAsia"/>
          <w:b/>
          <w:bCs/>
          <w:kern w:val="0"/>
          <w:sz w:val="44"/>
          <w:szCs w:val="44"/>
        </w:rPr>
        <w:sectPr>
          <w:pgSz w:w="11906" w:h="16838"/>
          <w:pgMar w:top="2098" w:right="1474" w:bottom="1984" w:left="1588" w:header="851" w:footer="992" w:gutter="0"/>
          <w:cols w:space="0" w:num="1"/>
          <w:docGrid w:type="lines" w:linePitch="312" w:charSpace="0"/>
        </w:sectPr>
      </w:pPr>
      <w:r>
        <w:rPr>
          <w:rFonts w:hint="eastAsia" w:ascii="仿宋" w:hAnsi="仿宋" w:eastAsia="仿宋" w:cs="DengXian-Regular"/>
          <w:sz w:val="32"/>
          <w:szCs w:val="32"/>
        </w:rPr>
        <w:t>2、由于决算公开表格中金额数值应当保留两位小数，公开数据为四舍五入计算结果，个别数据合计项与分项之和存在小数点后差额，特此说明。</w:t>
      </w:r>
    </w:p>
    <w:p>
      <w:pPr>
        <w:widowControl/>
        <w:spacing w:line="1200" w:lineRule="exact"/>
        <w:rPr>
          <w:rFonts w:hAnsi="宋体" w:asciiTheme="minorEastAsia" w:eastAsiaTheme="minorEastAsia"/>
          <w:color w:val="000000" w:themeColor="text1"/>
          <w:sz w:val="96"/>
          <w:szCs w:val="96"/>
        </w:rPr>
      </w:pPr>
    </w:p>
    <w:p>
      <w:pPr>
        <w:widowControl/>
        <w:spacing w:line="1200" w:lineRule="exact"/>
        <w:jc w:val="center"/>
        <w:rPr>
          <w:rFonts w:hAnsi="宋体" w:asciiTheme="minorEastAsia" w:eastAsiaTheme="minorEastAsia"/>
          <w:color w:val="000000" w:themeColor="text1"/>
          <w:sz w:val="72"/>
          <w:szCs w:val="72"/>
        </w:rPr>
      </w:pPr>
      <w:r>
        <w:rPr>
          <w:rFonts w:hint="eastAsia" w:hAnsi="宋体" w:asciiTheme="minorEastAsia" w:eastAsiaTheme="minorEastAsia"/>
          <w:color w:val="000000" w:themeColor="text1"/>
          <w:sz w:val="72"/>
          <w:szCs w:val="72"/>
        </w:rPr>
        <w:t>第四部分</w:t>
      </w:r>
    </w:p>
    <w:p>
      <w:pPr>
        <w:widowControl/>
        <w:spacing w:line="1200" w:lineRule="exact"/>
        <w:jc w:val="center"/>
        <w:rPr>
          <w:color w:val="000000" w:themeColor="text1"/>
          <w:sz w:val="72"/>
          <w:szCs w:val="72"/>
        </w:rPr>
      </w:pPr>
      <w:r>
        <w:rPr>
          <w:rFonts w:hint="eastAsia" w:hAnsi="宋体" w:asciiTheme="minorEastAsia" w:eastAsiaTheme="minorEastAsia"/>
          <w:color w:val="000000" w:themeColor="text1"/>
          <w:sz w:val="72"/>
          <w:szCs w:val="72"/>
        </w:rPr>
        <w:t>名词解释</w:t>
      </w:r>
    </w:p>
    <w:p>
      <w:pPr>
        <w:rPr>
          <w:rFonts w:ascii="宋体" w:hAnsi="宋体" w:cs="ArialUnicodeMS"/>
          <w:color w:val="000000"/>
          <w:kern w:val="0"/>
        </w:rPr>
        <w:sectPr>
          <w:pgSz w:w="11906" w:h="16838"/>
          <w:pgMar w:top="2098" w:right="1474" w:bottom="1984" w:left="1588" w:header="851" w:footer="992" w:gutter="0"/>
          <w:cols w:space="0" w:num="1"/>
          <w:docGrid w:type="lines" w:linePitch="312" w:charSpace="0"/>
        </w:sectPr>
      </w:pPr>
    </w:p>
    <w:p>
      <w:pPr>
        <w:widowControl/>
        <w:spacing w:after="0" w:line="560" w:lineRule="exact"/>
        <w:ind w:firstLine="643" w:firstLineChars="200"/>
        <w:rPr>
          <w:rFonts w:ascii="仿宋" w:hAnsi="仿宋" w:eastAsia="仿宋"/>
          <w:color w:val="000000"/>
          <w:kern w:val="0"/>
          <w:sz w:val="32"/>
          <w:szCs w:val="32"/>
        </w:rPr>
      </w:pPr>
      <w:r>
        <w:rPr>
          <w:rFonts w:hint="eastAsia" w:ascii="仿宋" w:hAnsi="仿宋" w:eastAsia="仿宋"/>
          <w:b/>
          <w:bCs/>
          <w:color w:val="000000"/>
          <w:kern w:val="0"/>
          <w:sz w:val="32"/>
          <w:szCs w:val="32"/>
        </w:rPr>
        <w:t>（一）财政拨款收入：</w:t>
      </w:r>
      <w:r>
        <w:rPr>
          <w:rFonts w:hint="eastAsia" w:ascii="仿宋" w:hAnsi="仿宋" w:eastAsia="仿宋"/>
          <w:color w:val="000000"/>
          <w:kern w:val="0"/>
          <w:sz w:val="32"/>
          <w:szCs w:val="32"/>
        </w:rPr>
        <w:t>本年度从本级财政部门取得的财政拨款，包括一般公共预算财政拨款和政府性基金预算财政拨款。</w:t>
      </w:r>
    </w:p>
    <w:p>
      <w:pPr>
        <w:widowControl/>
        <w:spacing w:after="0" w:line="560" w:lineRule="exact"/>
        <w:ind w:firstLine="643" w:firstLineChars="200"/>
        <w:rPr>
          <w:rFonts w:ascii="仿宋" w:hAnsi="仿宋" w:eastAsia="仿宋"/>
          <w:color w:val="000000"/>
          <w:kern w:val="0"/>
          <w:sz w:val="32"/>
          <w:szCs w:val="32"/>
        </w:rPr>
      </w:pPr>
      <w:r>
        <w:rPr>
          <w:rFonts w:hint="eastAsia" w:ascii="仿宋" w:hAnsi="仿宋" w:eastAsia="仿宋"/>
          <w:b/>
          <w:bCs/>
          <w:color w:val="000000"/>
          <w:kern w:val="0"/>
          <w:sz w:val="32"/>
          <w:szCs w:val="32"/>
        </w:rPr>
        <w:t>（二）事业收入：</w:t>
      </w:r>
      <w:r>
        <w:rPr>
          <w:rFonts w:hint="eastAsia" w:ascii="仿宋" w:hAnsi="仿宋" w:eastAsia="仿宋"/>
          <w:color w:val="000000"/>
          <w:kern w:val="0"/>
          <w:sz w:val="32"/>
          <w:szCs w:val="32"/>
        </w:rPr>
        <w:t>指事业单位开展专业业务活动及辅助活动所取得的收入。</w:t>
      </w:r>
    </w:p>
    <w:p>
      <w:pPr>
        <w:widowControl/>
        <w:spacing w:after="0" w:line="560" w:lineRule="exact"/>
        <w:ind w:firstLine="643" w:firstLineChars="200"/>
        <w:rPr>
          <w:rFonts w:ascii="仿宋" w:hAnsi="仿宋" w:eastAsia="仿宋"/>
          <w:color w:val="000000"/>
          <w:kern w:val="0"/>
          <w:sz w:val="32"/>
          <w:szCs w:val="32"/>
        </w:rPr>
      </w:pPr>
      <w:r>
        <w:rPr>
          <w:rFonts w:hint="eastAsia" w:ascii="仿宋" w:hAnsi="仿宋" w:eastAsia="仿宋"/>
          <w:b/>
          <w:bCs/>
          <w:color w:val="000000"/>
          <w:kern w:val="0"/>
          <w:sz w:val="32"/>
          <w:szCs w:val="32"/>
        </w:rPr>
        <w:t>（三）其他收入：</w:t>
      </w:r>
      <w:r>
        <w:rPr>
          <w:rFonts w:hint="eastAsia" w:ascii="仿宋" w:hAnsi="仿宋" w:eastAsia="仿宋"/>
          <w:color w:val="000000"/>
          <w:kern w:val="0"/>
          <w:sz w:val="32"/>
          <w:szCs w:val="32"/>
        </w:rPr>
        <w:t>指除上述“财政拨款收入”“事业收入”“经营收入”等以外的收入。</w:t>
      </w:r>
    </w:p>
    <w:p>
      <w:pPr>
        <w:widowControl/>
        <w:spacing w:after="0" w:line="560" w:lineRule="exact"/>
        <w:ind w:firstLine="643" w:firstLineChars="200"/>
        <w:rPr>
          <w:rFonts w:ascii="仿宋" w:hAnsi="仿宋" w:eastAsia="仿宋"/>
          <w:color w:val="000000"/>
          <w:kern w:val="0"/>
          <w:sz w:val="32"/>
          <w:szCs w:val="32"/>
        </w:rPr>
      </w:pPr>
      <w:r>
        <w:rPr>
          <w:rFonts w:hint="eastAsia" w:ascii="仿宋" w:hAnsi="仿宋" w:eastAsia="仿宋"/>
          <w:b/>
          <w:bCs/>
          <w:color w:val="000000"/>
          <w:kern w:val="0"/>
          <w:sz w:val="32"/>
          <w:szCs w:val="32"/>
        </w:rPr>
        <w:t>（四）用事业基金弥补收支差额：</w:t>
      </w:r>
      <w:r>
        <w:rPr>
          <w:rFonts w:hint="eastAsia" w:ascii="仿宋" w:hAnsi="仿宋" w:eastAsia="仿宋"/>
          <w:color w:val="000000"/>
          <w:kern w:val="0"/>
          <w:sz w:val="32"/>
          <w:szCs w:val="32"/>
        </w:rPr>
        <w:t>指事业单位在用当年的“财政拨款收入”“财政拨款结转和结余资金”“事业收入”“经营收入”“其他收入”不足以安排当年支出的情况下，使用以前年度积累的事业基金（事业单位当年收支相抵后按国家规定提取、用于弥补以后年度收支差额的基金）弥补本年度收支缺口的资金。</w:t>
      </w:r>
    </w:p>
    <w:p>
      <w:pPr>
        <w:widowControl/>
        <w:spacing w:after="0" w:line="560" w:lineRule="exact"/>
        <w:ind w:firstLine="643" w:firstLineChars="200"/>
        <w:rPr>
          <w:rFonts w:ascii="仿宋" w:hAnsi="仿宋" w:eastAsia="仿宋"/>
          <w:color w:val="000000"/>
          <w:kern w:val="0"/>
          <w:sz w:val="32"/>
          <w:szCs w:val="32"/>
        </w:rPr>
      </w:pPr>
      <w:r>
        <w:rPr>
          <w:rFonts w:hint="eastAsia" w:ascii="仿宋" w:hAnsi="仿宋" w:eastAsia="仿宋"/>
          <w:b/>
          <w:bCs/>
          <w:color w:val="000000"/>
          <w:kern w:val="0"/>
          <w:sz w:val="32"/>
          <w:szCs w:val="32"/>
        </w:rPr>
        <w:t>（五）年初结转和结余：</w:t>
      </w:r>
      <w:r>
        <w:rPr>
          <w:rFonts w:hint="eastAsia" w:ascii="仿宋" w:hAnsi="仿宋" w:eastAsia="仿宋"/>
          <w:color w:val="000000"/>
          <w:kern w:val="0"/>
          <w:sz w:val="32"/>
          <w:szCs w:val="32"/>
        </w:rPr>
        <w:t>指以前年度尚未完成、结转到本年仍按原规定用途继续使用的资金，或项目已完成等产生的结余资金。</w:t>
      </w:r>
    </w:p>
    <w:p>
      <w:pPr>
        <w:widowControl/>
        <w:spacing w:after="0" w:line="560" w:lineRule="exact"/>
        <w:ind w:firstLine="643" w:firstLineChars="200"/>
        <w:rPr>
          <w:rFonts w:ascii="仿宋" w:hAnsi="仿宋" w:eastAsia="仿宋"/>
          <w:color w:val="000000"/>
          <w:kern w:val="0"/>
          <w:sz w:val="32"/>
          <w:szCs w:val="32"/>
        </w:rPr>
      </w:pPr>
      <w:r>
        <w:rPr>
          <w:rFonts w:hint="eastAsia" w:ascii="仿宋" w:hAnsi="仿宋" w:eastAsia="仿宋"/>
          <w:b/>
          <w:bCs/>
          <w:color w:val="000000"/>
          <w:kern w:val="0"/>
          <w:sz w:val="32"/>
          <w:szCs w:val="32"/>
        </w:rPr>
        <w:t>（六）结余分配：</w:t>
      </w:r>
      <w:r>
        <w:rPr>
          <w:rFonts w:hint="eastAsia" w:ascii="仿宋" w:hAnsi="仿宋" w:eastAsia="仿宋"/>
          <w:color w:val="000000"/>
          <w:kern w:val="0"/>
          <w:sz w:val="32"/>
          <w:szCs w:val="32"/>
        </w:rPr>
        <w:t>指事业单位按照事业单位会计制度的规定从非财政补助结余中分配的事业基金和职工福利基金等。</w:t>
      </w:r>
    </w:p>
    <w:p>
      <w:pPr>
        <w:widowControl/>
        <w:spacing w:after="0" w:line="560" w:lineRule="exact"/>
        <w:ind w:firstLine="643" w:firstLineChars="200"/>
        <w:rPr>
          <w:rFonts w:ascii="仿宋" w:hAnsi="仿宋" w:eastAsia="仿宋"/>
          <w:color w:val="000000"/>
          <w:kern w:val="0"/>
          <w:sz w:val="32"/>
          <w:szCs w:val="32"/>
        </w:rPr>
      </w:pPr>
      <w:r>
        <w:rPr>
          <w:rFonts w:hint="eastAsia" w:ascii="仿宋" w:hAnsi="仿宋" w:eastAsia="仿宋"/>
          <w:b/>
          <w:bCs/>
          <w:color w:val="000000"/>
          <w:kern w:val="0"/>
          <w:sz w:val="32"/>
          <w:szCs w:val="32"/>
        </w:rPr>
        <w:t>（七）年末结转和结余：</w:t>
      </w:r>
      <w:r>
        <w:rPr>
          <w:rFonts w:hint="eastAsia" w:ascii="仿宋" w:hAnsi="仿宋" w:eastAsia="仿宋"/>
          <w:color w:val="000000"/>
          <w:kern w:val="0"/>
          <w:sz w:val="32"/>
          <w:szCs w:val="32"/>
        </w:rPr>
        <w:t>指单位按有关规定结转到下年或以后年度继续使用的资金，或项目已完成等产生的结余资金。</w:t>
      </w:r>
    </w:p>
    <w:p>
      <w:pPr>
        <w:widowControl/>
        <w:spacing w:after="0" w:line="560" w:lineRule="exact"/>
        <w:ind w:firstLine="643" w:firstLineChars="200"/>
        <w:rPr>
          <w:rFonts w:ascii="仿宋" w:hAnsi="仿宋" w:eastAsia="仿宋"/>
          <w:color w:val="000000"/>
          <w:kern w:val="0"/>
          <w:sz w:val="32"/>
          <w:szCs w:val="32"/>
        </w:rPr>
      </w:pPr>
      <w:r>
        <w:rPr>
          <w:rFonts w:hint="eastAsia" w:ascii="仿宋" w:hAnsi="仿宋" w:eastAsia="仿宋"/>
          <w:b/>
          <w:bCs/>
          <w:color w:val="000000"/>
          <w:kern w:val="0"/>
          <w:sz w:val="32"/>
          <w:szCs w:val="32"/>
        </w:rPr>
        <w:t>（八）基本支出：</w:t>
      </w:r>
      <w:r>
        <w:rPr>
          <w:rFonts w:hint="eastAsia" w:ascii="仿宋" w:hAnsi="仿宋" w:eastAsia="仿宋"/>
          <w:color w:val="000000"/>
          <w:kern w:val="0"/>
          <w:sz w:val="32"/>
          <w:szCs w:val="32"/>
        </w:rPr>
        <w:t>填列单位为保障机构正常运转、完成日常工作任务而发生的各项支出。</w:t>
      </w:r>
    </w:p>
    <w:p>
      <w:pPr>
        <w:widowControl/>
        <w:spacing w:after="0" w:line="560" w:lineRule="exact"/>
        <w:ind w:firstLine="643" w:firstLineChars="200"/>
        <w:rPr>
          <w:rFonts w:ascii="仿宋" w:hAnsi="仿宋" w:eastAsia="仿宋"/>
          <w:color w:val="000000"/>
          <w:kern w:val="0"/>
          <w:sz w:val="32"/>
          <w:szCs w:val="32"/>
        </w:rPr>
      </w:pPr>
      <w:r>
        <w:rPr>
          <w:rFonts w:hint="eastAsia" w:ascii="仿宋" w:hAnsi="仿宋" w:eastAsia="仿宋"/>
          <w:b/>
          <w:bCs/>
          <w:color w:val="000000"/>
          <w:kern w:val="0"/>
          <w:sz w:val="32"/>
          <w:szCs w:val="32"/>
        </w:rPr>
        <w:t>（九）项目支出：</w:t>
      </w:r>
      <w:r>
        <w:rPr>
          <w:rFonts w:hint="eastAsia" w:ascii="仿宋" w:hAnsi="仿宋" w:eastAsia="仿宋"/>
          <w:color w:val="000000"/>
          <w:kern w:val="0"/>
          <w:sz w:val="32"/>
          <w:szCs w:val="32"/>
        </w:rPr>
        <w:t>填列单位为完成特定的行政工作任务或事业发展目标，在基本支出之外发生的各项支出</w:t>
      </w:r>
    </w:p>
    <w:p>
      <w:pPr>
        <w:widowControl/>
        <w:spacing w:after="0" w:line="560" w:lineRule="exact"/>
        <w:ind w:firstLine="643" w:firstLineChars="200"/>
        <w:rPr>
          <w:rFonts w:ascii="仿宋" w:hAnsi="仿宋" w:eastAsia="仿宋"/>
          <w:color w:val="000000"/>
          <w:kern w:val="0"/>
          <w:sz w:val="32"/>
          <w:szCs w:val="32"/>
        </w:rPr>
      </w:pPr>
      <w:r>
        <w:rPr>
          <w:rFonts w:hint="eastAsia" w:ascii="仿宋" w:hAnsi="仿宋" w:eastAsia="仿宋"/>
          <w:b/>
          <w:bCs/>
          <w:color w:val="000000"/>
          <w:kern w:val="0"/>
          <w:sz w:val="32"/>
          <w:szCs w:val="32"/>
        </w:rPr>
        <w:t>（十）资本性支出（基本建设）：</w:t>
      </w:r>
      <w:r>
        <w:rPr>
          <w:rFonts w:hint="eastAsia" w:ascii="仿宋" w:hAnsi="仿宋" w:eastAsia="仿宋"/>
          <w:color w:val="000000"/>
          <w:kern w:val="0"/>
          <w:sz w:val="32"/>
          <w:szCs w:val="32"/>
        </w:rPr>
        <w:t>填列切块由发展改革部门安排的基本建设支出，对企业补助支出不在此科目反映。</w:t>
      </w:r>
    </w:p>
    <w:p>
      <w:pPr>
        <w:widowControl/>
        <w:spacing w:after="0" w:line="560" w:lineRule="exact"/>
        <w:ind w:firstLine="643" w:firstLineChars="200"/>
        <w:rPr>
          <w:rFonts w:ascii="仿宋" w:hAnsi="仿宋" w:eastAsia="仿宋"/>
          <w:color w:val="000000"/>
          <w:kern w:val="0"/>
          <w:sz w:val="32"/>
          <w:szCs w:val="32"/>
        </w:rPr>
      </w:pPr>
      <w:r>
        <w:rPr>
          <w:rFonts w:hint="eastAsia" w:ascii="仿宋" w:hAnsi="仿宋" w:eastAsia="仿宋"/>
          <w:b/>
          <w:bCs/>
          <w:color w:val="000000"/>
          <w:kern w:val="0"/>
          <w:sz w:val="32"/>
          <w:szCs w:val="32"/>
        </w:rPr>
        <w:t>（十一）资本性支出：</w:t>
      </w:r>
      <w:r>
        <w:rPr>
          <w:rFonts w:hint="eastAsia" w:ascii="仿宋" w:hAnsi="仿宋" w:eastAsia="仿宋"/>
          <w:color w:val="000000"/>
          <w:kern w:val="0"/>
          <w:sz w:val="32"/>
          <w:szCs w:val="32"/>
        </w:rPr>
        <w:t>填列各单位安排的资本性支出。切块由发展改革部门安排的基本建设支出不在此科目反映。</w:t>
      </w:r>
    </w:p>
    <w:p>
      <w:pPr>
        <w:widowControl/>
        <w:spacing w:after="0" w:line="560" w:lineRule="exact"/>
        <w:ind w:firstLine="643" w:firstLineChars="200"/>
        <w:rPr>
          <w:rFonts w:ascii="仿宋" w:hAnsi="仿宋" w:eastAsia="仿宋"/>
          <w:color w:val="000000"/>
          <w:kern w:val="0"/>
          <w:sz w:val="32"/>
          <w:szCs w:val="32"/>
        </w:rPr>
      </w:pPr>
      <w:r>
        <w:rPr>
          <w:rFonts w:hint="eastAsia" w:ascii="仿宋" w:hAnsi="仿宋" w:eastAsia="仿宋"/>
          <w:b/>
          <w:bCs/>
          <w:color w:val="000000"/>
          <w:kern w:val="0"/>
          <w:sz w:val="32"/>
          <w:szCs w:val="32"/>
        </w:rPr>
        <w:t>（十二）“三公”经费：</w:t>
      </w:r>
      <w:r>
        <w:rPr>
          <w:rFonts w:hint="eastAsia" w:ascii="仿宋" w:hAnsi="仿宋" w:eastAsia="仿宋"/>
          <w:color w:val="000000"/>
          <w:kern w:val="0"/>
          <w:sz w:val="32"/>
          <w:szCs w:val="32"/>
        </w:rPr>
        <w:t>指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购置支出（含车辆购置税）及租用费、燃料费、维修费、过路过桥费、保险费、安全奖励费用等支出；公务接待费反映单位按规定开支的各类公务接待（含外宾接待）支出。</w:t>
      </w:r>
    </w:p>
    <w:p>
      <w:pPr>
        <w:widowControl/>
        <w:spacing w:after="0" w:line="560" w:lineRule="exact"/>
        <w:ind w:firstLine="643" w:firstLineChars="200"/>
        <w:rPr>
          <w:rFonts w:ascii="仿宋" w:hAnsi="仿宋" w:eastAsia="仿宋"/>
          <w:color w:val="000000"/>
          <w:kern w:val="0"/>
          <w:sz w:val="32"/>
          <w:szCs w:val="32"/>
        </w:rPr>
      </w:pPr>
      <w:r>
        <w:rPr>
          <w:rFonts w:hint="eastAsia" w:ascii="仿宋" w:hAnsi="仿宋" w:eastAsia="仿宋"/>
          <w:b/>
          <w:bCs/>
          <w:color w:val="000000"/>
          <w:kern w:val="0"/>
          <w:sz w:val="32"/>
          <w:szCs w:val="32"/>
        </w:rPr>
        <w:t>（十三）其他交通费用：</w:t>
      </w:r>
      <w:r>
        <w:rPr>
          <w:rFonts w:hint="eastAsia" w:ascii="仿宋" w:hAnsi="仿宋" w:eastAsia="仿宋"/>
          <w:color w:val="000000"/>
          <w:kern w:val="0"/>
          <w:sz w:val="32"/>
          <w:szCs w:val="32"/>
        </w:rPr>
        <w:t>填列单位除公务用车运行维护费以外的其他交通费用。如公务交通补贴、租车费用、出租车费用、飞机、船舶等的燃料费、维修费、保险费等。</w:t>
      </w:r>
    </w:p>
    <w:p>
      <w:pPr>
        <w:widowControl/>
        <w:spacing w:after="0" w:line="560" w:lineRule="exact"/>
        <w:ind w:firstLine="643" w:firstLineChars="200"/>
        <w:rPr>
          <w:rFonts w:ascii="仿宋" w:hAnsi="仿宋" w:eastAsia="仿宋"/>
          <w:color w:val="000000"/>
          <w:kern w:val="0"/>
          <w:sz w:val="32"/>
          <w:szCs w:val="32"/>
        </w:rPr>
      </w:pPr>
      <w:r>
        <w:rPr>
          <w:rFonts w:hint="eastAsia" w:ascii="仿宋" w:hAnsi="仿宋" w:eastAsia="仿宋"/>
          <w:b/>
          <w:bCs/>
          <w:color w:val="000000"/>
          <w:kern w:val="0"/>
          <w:sz w:val="32"/>
          <w:szCs w:val="32"/>
        </w:rPr>
        <w:t>（十四）公务用车购置：</w:t>
      </w:r>
      <w:r>
        <w:rPr>
          <w:rFonts w:hint="eastAsia" w:ascii="仿宋" w:hAnsi="仿宋" w:eastAsia="仿宋"/>
          <w:color w:val="000000"/>
          <w:kern w:val="0"/>
          <w:sz w:val="32"/>
          <w:szCs w:val="32"/>
        </w:rPr>
        <w:t>填列单位公务用车购置支出（含车辆购置税、牌照费）。</w:t>
      </w:r>
    </w:p>
    <w:p>
      <w:pPr>
        <w:widowControl/>
        <w:spacing w:after="0" w:line="560" w:lineRule="exact"/>
        <w:ind w:firstLine="643" w:firstLineChars="200"/>
        <w:rPr>
          <w:rFonts w:ascii="仿宋" w:hAnsi="仿宋" w:eastAsia="仿宋"/>
          <w:color w:val="000000"/>
          <w:kern w:val="0"/>
          <w:sz w:val="32"/>
          <w:szCs w:val="32"/>
        </w:rPr>
      </w:pPr>
      <w:r>
        <w:rPr>
          <w:rFonts w:hint="eastAsia" w:ascii="仿宋" w:hAnsi="仿宋" w:eastAsia="仿宋"/>
          <w:b/>
          <w:bCs/>
          <w:color w:val="000000"/>
          <w:kern w:val="0"/>
          <w:sz w:val="32"/>
          <w:szCs w:val="32"/>
        </w:rPr>
        <w:t>（十五）其他交通工具购置：</w:t>
      </w:r>
      <w:r>
        <w:rPr>
          <w:rFonts w:hint="eastAsia" w:ascii="仿宋" w:hAnsi="仿宋" w:eastAsia="仿宋"/>
          <w:color w:val="000000"/>
          <w:kern w:val="0"/>
          <w:sz w:val="32"/>
          <w:szCs w:val="32"/>
        </w:rPr>
        <w:t>填列单位除公务用车外的其他各类交通工具（如船舶、飞机）购置支出（含车辆购置税、牌照费）。</w:t>
      </w:r>
    </w:p>
    <w:p>
      <w:pPr>
        <w:widowControl/>
        <w:spacing w:after="0" w:line="560" w:lineRule="exact"/>
        <w:ind w:firstLine="643" w:firstLineChars="200"/>
        <w:rPr>
          <w:rFonts w:ascii="仿宋" w:hAnsi="仿宋" w:eastAsia="仿宋"/>
          <w:color w:val="000000"/>
          <w:kern w:val="0"/>
          <w:sz w:val="32"/>
          <w:szCs w:val="32"/>
        </w:rPr>
      </w:pPr>
      <w:r>
        <w:rPr>
          <w:rFonts w:hint="eastAsia" w:ascii="仿宋" w:hAnsi="仿宋" w:eastAsia="仿宋"/>
          <w:b/>
          <w:bCs/>
          <w:color w:val="000000"/>
          <w:kern w:val="0"/>
          <w:sz w:val="32"/>
          <w:szCs w:val="32"/>
        </w:rPr>
        <w:t>（十六）机关运行经费：</w:t>
      </w:r>
      <w:r>
        <w:rPr>
          <w:rFonts w:hint="eastAsia" w:ascii="仿宋" w:hAnsi="仿宋" w:eastAsia="仿宋"/>
          <w:color w:val="000000"/>
          <w:kern w:val="0"/>
          <w:sz w:val="32"/>
          <w:szCs w:val="32"/>
        </w:rPr>
        <w:t>指为保障行政单位（包括参照公务员法管理的事业单位）运行用于购买货物和服务的各项资金，包括办公及印刷费、邮电费、差旅费、会议费、福利费、日常维修费、专用材料以及一般设备购置费、办公用房水电费、办公用房取暖费、办公用房物业管理费、公务用车运行维护费以及其他费用。</w:t>
      </w:r>
    </w:p>
    <w:p>
      <w:pPr>
        <w:widowControl/>
        <w:spacing w:after="0" w:line="560" w:lineRule="exact"/>
        <w:ind w:firstLine="643" w:firstLineChars="200"/>
        <w:rPr>
          <w:rFonts w:ascii="仿宋" w:hAnsi="仿宋" w:eastAsia="仿宋" w:cs="ArialUnicodeMS"/>
          <w:kern w:val="0"/>
          <w:sz w:val="32"/>
          <w:szCs w:val="32"/>
        </w:rPr>
      </w:pPr>
      <w:r>
        <w:rPr>
          <w:rFonts w:hint="eastAsia" w:ascii="仿宋" w:hAnsi="仿宋" w:eastAsia="仿宋"/>
          <w:b/>
          <w:bCs/>
          <w:color w:val="000000"/>
          <w:kern w:val="0"/>
          <w:sz w:val="32"/>
          <w:szCs w:val="32"/>
        </w:rPr>
        <w:t>（十七）经费形式:</w:t>
      </w:r>
      <w:r>
        <w:rPr>
          <w:rFonts w:hint="eastAsia" w:ascii="仿宋" w:hAnsi="仿宋" w:eastAsia="仿宋"/>
          <w:color w:val="000000"/>
          <w:kern w:val="0"/>
          <w:sz w:val="32"/>
          <w:szCs w:val="32"/>
        </w:rPr>
        <w:t>按照经费来源，</w:t>
      </w:r>
      <w:r>
        <w:rPr>
          <w:rFonts w:hint="eastAsia" w:ascii="仿宋" w:hAnsi="仿宋" w:eastAsia="仿宋" w:cs="ArialUnicodeMS"/>
          <w:kern w:val="0"/>
          <w:sz w:val="32"/>
          <w:szCs w:val="32"/>
        </w:rPr>
        <w:t>可分为财政拨款、财政性资金基本保证、财政性资金定额或定项补助、财政性资金零补助四类。</w:t>
      </w:r>
    </w:p>
    <w:p>
      <w:pPr>
        <w:widowControl/>
        <w:spacing w:after="0" w:line="560" w:lineRule="exact"/>
        <w:ind w:firstLine="640" w:firstLineChars="200"/>
        <w:rPr>
          <w:rFonts w:ascii="仿宋" w:hAnsi="仿宋" w:eastAsia="仿宋" w:cs="ArialUnicodeMS"/>
          <w:kern w:val="0"/>
          <w:sz w:val="32"/>
          <w:szCs w:val="32"/>
        </w:rPr>
      </w:pPr>
    </w:p>
    <w:p>
      <w:pPr>
        <w:widowControl/>
        <w:spacing w:after="0" w:line="560" w:lineRule="exact"/>
        <w:ind w:firstLine="640" w:firstLineChars="200"/>
        <w:rPr>
          <w:rFonts w:ascii="仿宋" w:hAnsi="仿宋" w:eastAsia="仿宋" w:cs="ArialUnicodeMS"/>
          <w:kern w:val="0"/>
          <w:sz w:val="32"/>
          <w:szCs w:val="32"/>
        </w:rPr>
      </w:pPr>
    </w:p>
    <w:p>
      <w:pPr>
        <w:widowControl/>
        <w:spacing w:after="0" w:line="560" w:lineRule="exact"/>
        <w:ind w:firstLine="640" w:firstLineChars="200"/>
        <w:rPr>
          <w:rFonts w:ascii="仿宋" w:hAnsi="仿宋" w:eastAsia="仿宋" w:cs="ArialUnicodeMS"/>
          <w:kern w:val="0"/>
          <w:sz w:val="32"/>
          <w:szCs w:val="32"/>
        </w:rPr>
      </w:pPr>
    </w:p>
    <w:p>
      <w:pPr>
        <w:widowControl/>
        <w:spacing w:after="0" w:line="560" w:lineRule="exact"/>
        <w:ind w:firstLine="640" w:firstLineChars="200"/>
        <w:rPr>
          <w:rFonts w:ascii="仿宋" w:hAnsi="仿宋" w:eastAsia="仿宋" w:cs="ArialUnicodeMS"/>
          <w:kern w:val="0"/>
          <w:sz w:val="32"/>
          <w:szCs w:val="32"/>
        </w:rPr>
      </w:pPr>
    </w:p>
    <w:p>
      <w:pPr>
        <w:widowControl/>
        <w:spacing w:after="0" w:line="560" w:lineRule="exact"/>
        <w:ind w:firstLine="640" w:firstLineChars="200"/>
        <w:rPr>
          <w:rFonts w:ascii="仿宋" w:hAnsi="仿宋" w:eastAsia="仿宋" w:cs="ArialUnicodeMS"/>
          <w:kern w:val="0"/>
          <w:sz w:val="32"/>
          <w:szCs w:val="32"/>
        </w:rPr>
      </w:pPr>
    </w:p>
    <w:p>
      <w:pPr>
        <w:widowControl/>
        <w:spacing w:after="0" w:line="560" w:lineRule="exact"/>
        <w:ind w:firstLine="640" w:firstLineChars="200"/>
        <w:rPr>
          <w:rFonts w:ascii="仿宋" w:hAnsi="仿宋" w:eastAsia="仿宋" w:cs="ArialUnicodeMS"/>
          <w:kern w:val="0"/>
          <w:sz w:val="32"/>
          <w:szCs w:val="32"/>
        </w:rPr>
      </w:pPr>
    </w:p>
    <w:p>
      <w:pPr>
        <w:widowControl/>
        <w:spacing w:after="0" w:line="560" w:lineRule="exact"/>
        <w:ind w:firstLine="640" w:firstLineChars="200"/>
        <w:rPr>
          <w:rFonts w:ascii="仿宋" w:hAnsi="仿宋" w:eastAsia="仿宋" w:cs="ArialUnicodeMS"/>
          <w:kern w:val="0"/>
          <w:sz w:val="32"/>
          <w:szCs w:val="32"/>
        </w:rPr>
      </w:pPr>
    </w:p>
    <w:p>
      <w:pPr>
        <w:widowControl/>
        <w:spacing w:after="0" w:line="560" w:lineRule="exact"/>
        <w:ind w:firstLine="640" w:firstLineChars="200"/>
        <w:rPr>
          <w:rFonts w:ascii="仿宋" w:hAnsi="仿宋" w:eastAsia="仿宋" w:cs="ArialUnicodeMS"/>
          <w:kern w:val="0"/>
          <w:sz w:val="32"/>
          <w:szCs w:val="32"/>
        </w:rPr>
      </w:pPr>
    </w:p>
    <w:p>
      <w:pPr>
        <w:widowControl/>
        <w:spacing w:after="0" w:line="560" w:lineRule="exact"/>
        <w:ind w:firstLine="640" w:firstLineChars="200"/>
        <w:rPr>
          <w:rFonts w:ascii="仿宋" w:hAnsi="仿宋" w:eastAsia="仿宋" w:cs="ArialUnicodeMS"/>
          <w:kern w:val="0"/>
          <w:sz w:val="32"/>
          <w:szCs w:val="32"/>
        </w:rPr>
      </w:pPr>
    </w:p>
    <w:p>
      <w:pPr>
        <w:widowControl/>
        <w:spacing w:after="0" w:line="560" w:lineRule="exact"/>
        <w:rPr>
          <w:rFonts w:ascii="仿宋" w:hAnsi="仿宋" w:eastAsia="仿宋" w:cs="ArialUnicodeMS"/>
          <w:kern w:val="0"/>
          <w:sz w:val="32"/>
          <w:szCs w:val="32"/>
        </w:rPr>
      </w:pPr>
    </w:p>
    <w:sectPr>
      <w:pgSz w:w="11906" w:h="16838"/>
      <w:pgMar w:top="2098" w:right="1474" w:bottom="1985" w:left="1588"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C93B4F82-5077-4ED0-AF45-4E81E4317A1F}"/>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4A5CE427-6E21-4621-8FC7-CA509A45B714}"/>
  </w:font>
  <w:font w:name="Cambria">
    <w:panose1 w:val="02040503050406030204"/>
    <w:charset w:val="00"/>
    <w:family w:val="roman"/>
    <w:pitch w:val="default"/>
    <w:sig w:usb0="E00006FF" w:usb1="420024FF" w:usb2="02000000" w:usb3="00000000" w:csb0="2000019F" w:csb1="00000000"/>
    <w:embedRegular r:id="rId3" w:fontKey="{9B45742A-9B1E-4844-9BCE-AB4F7193E1D8}"/>
  </w:font>
  <w:font w:name="楷体">
    <w:panose1 w:val="02010609060101010101"/>
    <w:charset w:val="86"/>
    <w:family w:val="modern"/>
    <w:pitch w:val="default"/>
    <w:sig w:usb0="800002BF" w:usb1="38CF7CFA" w:usb2="00000016" w:usb3="00000000" w:csb0="00040001" w:csb1="00000000"/>
    <w:embedRegular r:id="rId4" w:fontKey="{2949931C-B69A-4A21-82F0-008E6E93851B}"/>
  </w:font>
  <w:font w:name="仿宋_GB2312">
    <w:altName w:val="仿宋"/>
    <w:panose1 w:val="00000000000000000000"/>
    <w:charset w:val="86"/>
    <w:family w:val="modern"/>
    <w:pitch w:val="default"/>
    <w:sig w:usb0="00000000" w:usb1="00000000" w:usb2="00000000" w:usb3="00000000" w:csb0="00000000" w:csb1="00000000"/>
    <w:embedRegular r:id="rId5" w:fontKey="{34CA6638-C8E4-47DE-ACF1-A65787CE315E}"/>
  </w:font>
  <w:font w:name="仿宋">
    <w:panose1 w:val="02010609060101010101"/>
    <w:charset w:val="86"/>
    <w:family w:val="modern"/>
    <w:pitch w:val="default"/>
    <w:sig w:usb0="800002BF" w:usb1="38CF7CFA" w:usb2="00000016" w:usb3="00000000" w:csb0="00040001" w:csb1="00000000"/>
    <w:embedRegular r:id="rId6" w:fontKey="{5A2245A7-9001-4887-A583-1215ECD39655}"/>
  </w:font>
  <w:font w:name="ArialUnicodeMS">
    <w:altName w:val="Malgun Gothic"/>
    <w:panose1 w:val="00000000000000000000"/>
    <w:charset w:val="81"/>
    <w:family w:val="auto"/>
    <w:pitch w:val="default"/>
    <w:sig w:usb0="00000000" w:usb1="00000000" w:usb2="00000010" w:usb3="00000000" w:csb0="00080001" w:csb1="00000000"/>
    <w:embedRegular r:id="rId7" w:fontKey="{334657A5-EA1A-43C7-BD5F-E73FEED2108D}"/>
  </w:font>
  <w:font w:name="微软雅黑">
    <w:panose1 w:val="020B0503020204020204"/>
    <w:charset w:val="86"/>
    <w:family w:val="swiss"/>
    <w:pitch w:val="default"/>
    <w:sig w:usb0="80000287" w:usb1="2ACF3C50" w:usb2="00000016" w:usb3="00000000" w:csb0="0004001F" w:csb1="00000000"/>
    <w:embedRegular r:id="rId8" w:fontKey="{1E4A5B7B-9D0C-4370-86C4-F24D0D7FD229}"/>
  </w:font>
  <w:font w:name="MS-UIGothic,Bold">
    <w:altName w:val="Malgun Gothic"/>
    <w:panose1 w:val="00000000000000000000"/>
    <w:charset w:val="81"/>
    <w:family w:val="auto"/>
    <w:pitch w:val="default"/>
    <w:sig w:usb0="00000000" w:usb1="00000000" w:usb2="00000010" w:usb3="00000000" w:csb0="00080000" w:csb1="00000000"/>
    <w:embedRegular r:id="rId9" w:fontKey="{46272438-19AA-4268-9266-D1A5965F6AB2}"/>
  </w:font>
  <w:font w:name="DengXian-Regular">
    <w:altName w:val="宋体"/>
    <w:panose1 w:val="00000000000000000000"/>
    <w:charset w:val="86"/>
    <w:family w:val="auto"/>
    <w:pitch w:val="default"/>
    <w:sig w:usb0="00000000" w:usb1="00000000" w:usb2="00000010" w:usb3="00000000" w:csb0="00040001" w:csb1="00000000"/>
    <w:embedRegular r:id="rId10" w:fontKey="{150DDDD5-CE82-428F-96C7-EA5AFBF70663}"/>
  </w:font>
  <w:font w:name="楷体_GB2312">
    <w:altName w:val="楷体"/>
    <w:panose1 w:val="00000000000000000000"/>
    <w:charset w:val="86"/>
    <w:family w:val="modern"/>
    <w:pitch w:val="default"/>
    <w:sig w:usb0="00000000" w:usb1="00000000" w:usb2="00000000" w:usb3="00000000" w:csb0="00000000" w:csb1="00000000"/>
    <w:embedRegular r:id="rId11" w:fontKey="{83C03524-AC45-4B87-B737-BAE1318071F6}"/>
  </w:font>
  <w:font w:name="DengXian-Bold">
    <w:altName w:val="宋体"/>
    <w:panose1 w:val="00000000000000000000"/>
    <w:charset w:val="86"/>
    <w:family w:val="auto"/>
    <w:pitch w:val="default"/>
    <w:sig w:usb0="00000000" w:usb1="00000000" w:usb2="00000010" w:usb3="00000000" w:csb0="00040001" w:csb1="00000000"/>
    <w:embedRegular r:id="rId12" w:fontKey="{1405F237-D03C-41A9-A417-67F88E8A9D2D}"/>
  </w:font>
  <w:font w:name="Malgun Gothic">
    <w:panose1 w:val="020B0503020000020004"/>
    <w:charset w:val="81"/>
    <w:family w:val="auto"/>
    <w:pitch w:val="default"/>
    <w:sig w:usb0="9000002F" w:usb1="29D77CFB" w:usb2="00000012" w:usb3="00000000" w:csb0="0008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480" w:lineRule="auto"/>
      </w:pPr>
      <w:r>
        <w:separator/>
      </w:r>
    </w:p>
  </w:footnote>
  <w:footnote w:type="continuationSeparator" w:id="1">
    <w:p>
      <w:pPr>
        <w:spacing w:before="0" w:after="0" w:line="48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3B9603D"/>
    <w:multiLevelType w:val="multilevel"/>
    <w:tmpl w:val="43B9603D"/>
    <w:lvl w:ilvl="0" w:tentative="0">
      <w:start w:val="1"/>
      <w:numFmt w:val="japaneseCounting"/>
      <w:lvlText w:val="%1、"/>
      <w:lvlJc w:val="left"/>
      <w:pPr>
        <w:ind w:left="1994" w:hanging="720"/>
      </w:pPr>
      <w:rPr>
        <w:rFonts w:hint="default"/>
      </w:rPr>
    </w:lvl>
    <w:lvl w:ilvl="1" w:tentative="0">
      <w:start w:val="1"/>
      <w:numFmt w:val="lowerLetter"/>
      <w:lvlText w:val="%2)"/>
      <w:lvlJc w:val="left"/>
      <w:pPr>
        <w:ind w:left="2114" w:hanging="420"/>
      </w:pPr>
    </w:lvl>
    <w:lvl w:ilvl="2" w:tentative="0">
      <w:start w:val="1"/>
      <w:numFmt w:val="lowerRoman"/>
      <w:lvlText w:val="%3."/>
      <w:lvlJc w:val="right"/>
      <w:pPr>
        <w:ind w:left="2534" w:hanging="420"/>
      </w:pPr>
    </w:lvl>
    <w:lvl w:ilvl="3" w:tentative="0">
      <w:start w:val="1"/>
      <w:numFmt w:val="decimal"/>
      <w:lvlText w:val="%4."/>
      <w:lvlJc w:val="left"/>
      <w:pPr>
        <w:ind w:left="2954" w:hanging="420"/>
      </w:pPr>
    </w:lvl>
    <w:lvl w:ilvl="4" w:tentative="0">
      <w:start w:val="1"/>
      <w:numFmt w:val="lowerLetter"/>
      <w:lvlText w:val="%5)"/>
      <w:lvlJc w:val="left"/>
      <w:pPr>
        <w:ind w:left="3374" w:hanging="420"/>
      </w:pPr>
    </w:lvl>
    <w:lvl w:ilvl="5" w:tentative="0">
      <w:start w:val="1"/>
      <w:numFmt w:val="lowerRoman"/>
      <w:lvlText w:val="%6."/>
      <w:lvlJc w:val="right"/>
      <w:pPr>
        <w:ind w:left="3794" w:hanging="420"/>
      </w:pPr>
    </w:lvl>
    <w:lvl w:ilvl="6" w:tentative="0">
      <w:start w:val="1"/>
      <w:numFmt w:val="decimal"/>
      <w:lvlText w:val="%7."/>
      <w:lvlJc w:val="left"/>
      <w:pPr>
        <w:ind w:left="4214" w:hanging="420"/>
      </w:pPr>
    </w:lvl>
    <w:lvl w:ilvl="7" w:tentative="0">
      <w:start w:val="1"/>
      <w:numFmt w:val="lowerLetter"/>
      <w:lvlText w:val="%8)"/>
      <w:lvlJc w:val="left"/>
      <w:pPr>
        <w:ind w:left="4634" w:hanging="420"/>
      </w:pPr>
    </w:lvl>
    <w:lvl w:ilvl="8" w:tentative="0">
      <w:start w:val="1"/>
      <w:numFmt w:val="lowerRoman"/>
      <w:lvlText w:val="%9."/>
      <w:lvlJc w:val="right"/>
      <w:pPr>
        <w:ind w:left="5054"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embedTrueTypeFonts/>
  <w:saveSubsetFonts/>
  <w:bordersDoNotSurroundHeader w:val="1"/>
  <w:bordersDoNotSurroundFooter w:val="1"/>
  <w:documentProtection w:enforcement="0"/>
  <w:defaultTabStop w:val="420"/>
  <w:drawingGridHorizontalSpacing w:val="105"/>
  <w:drawingGridVerticalSpacing w:val="156"/>
  <w:displayHorizontalDrawingGridEvery w:val="2"/>
  <w:displayVerticalDrawingGridEvery w:val="2"/>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NDVhMDYxMDYyNDNkZjYwMzZhMWRhZDE5YjE0MjhhNWEifQ=="/>
  </w:docVars>
  <w:rsids>
    <w:rsidRoot w:val="003C1413"/>
    <w:rsid w:val="000023F9"/>
    <w:rsid w:val="00005F9B"/>
    <w:rsid w:val="00013DD4"/>
    <w:rsid w:val="00020FAF"/>
    <w:rsid w:val="00022474"/>
    <w:rsid w:val="00024E7F"/>
    <w:rsid w:val="000400B0"/>
    <w:rsid w:val="000475A0"/>
    <w:rsid w:val="00067693"/>
    <w:rsid w:val="000838C3"/>
    <w:rsid w:val="000B2446"/>
    <w:rsid w:val="000B654F"/>
    <w:rsid w:val="000D7C65"/>
    <w:rsid w:val="000E2F81"/>
    <w:rsid w:val="00101F8D"/>
    <w:rsid w:val="00105A73"/>
    <w:rsid w:val="00106FC7"/>
    <w:rsid w:val="00117946"/>
    <w:rsid w:val="00117E2C"/>
    <w:rsid w:val="00146C47"/>
    <w:rsid w:val="00152FB8"/>
    <w:rsid w:val="00175BFA"/>
    <w:rsid w:val="00176658"/>
    <w:rsid w:val="0018239E"/>
    <w:rsid w:val="0019671C"/>
    <w:rsid w:val="001B3410"/>
    <w:rsid w:val="001B7503"/>
    <w:rsid w:val="001C030D"/>
    <w:rsid w:val="001C4A84"/>
    <w:rsid w:val="001D4C2A"/>
    <w:rsid w:val="001E5902"/>
    <w:rsid w:val="00233705"/>
    <w:rsid w:val="00245878"/>
    <w:rsid w:val="00246D99"/>
    <w:rsid w:val="00257266"/>
    <w:rsid w:val="00262306"/>
    <w:rsid w:val="00275CA2"/>
    <w:rsid w:val="002A65A5"/>
    <w:rsid w:val="002C04C4"/>
    <w:rsid w:val="002D08B0"/>
    <w:rsid w:val="002D1AE3"/>
    <w:rsid w:val="002F2ECE"/>
    <w:rsid w:val="00303ADA"/>
    <w:rsid w:val="00341699"/>
    <w:rsid w:val="00341C8F"/>
    <w:rsid w:val="0035463A"/>
    <w:rsid w:val="0037543A"/>
    <w:rsid w:val="00391D9D"/>
    <w:rsid w:val="003B6C51"/>
    <w:rsid w:val="003C1413"/>
    <w:rsid w:val="003C549F"/>
    <w:rsid w:val="003D5A16"/>
    <w:rsid w:val="003E7DB3"/>
    <w:rsid w:val="00422B0E"/>
    <w:rsid w:val="00431175"/>
    <w:rsid w:val="004374A3"/>
    <w:rsid w:val="00493686"/>
    <w:rsid w:val="004964EA"/>
    <w:rsid w:val="004B6E37"/>
    <w:rsid w:val="004C32BA"/>
    <w:rsid w:val="004C68EF"/>
    <w:rsid w:val="004F64EC"/>
    <w:rsid w:val="00575922"/>
    <w:rsid w:val="005979DA"/>
    <w:rsid w:val="005A3C0D"/>
    <w:rsid w:val="005A6C90"/>
    <w:rsid w:val="005B37E6"/>
    <w:rsid w:val="005B3BEA"/>
    <w:rsid w:val="005B6129"/>
    <w:rsid w:val="005B6643"/>
    <w:rsid w:val="005E3FB0"/>
    <w:rsid w:val="005F1309"/>
    <w:rsid w:val="005F4B66"/>
    <w:rsid w:val="005F5208"/>
    <w:rsid w:val="00615C31"/>
    <w:rsid w:val="00641318"/>
    <w:rsid w:val="0064405D"/>
    <w:rsid w:val="00664BDC"/>
    <w:rsid w:val="00695557"/>
    <w:rsid w:val="006A70AC"/>
    <w:rsid w:val="006C3A1E"/>
    <w:rsid w:val="006D4EA7"/>
    <w:rsid w:val="0070012A"/>
    <w:rsid w:val="0070664B"/>
    <w:rsid w:val="007071B8"/>
    <w:rsid w:val="007155C2"/>
    <w:rsid w:val="007414DE"/>
    <w:rsid w:val="00760C0C"/>
    <w:rsid w:val="007905A9"/>
    <w:rsid w:val="007A0BF3"/>
    <w:rsid w:val="007E072B"/>
    <w:rsid w:val="007E5500"/>
    <w:rsid w:val="007F055B"/>
    <w:rsid w:val="00811C2F"/>
    <w:rsid w:val="00833D46"/>
    <w:rsid w:val="00836215"/>
    <w:rsid w:val="00840A97"/>
    <w:rsid w:val="00872B02"/>
    <w:rsid w:val="00873292"/>
    <w:rsid w:val="00887AE2"/>
    <w:rsid w:val="008A640A"/>
    <w:rsid w:val="008C0149"/>
    <w:rsid w:val="008C31E3"/>
    <w:rsid w:val="008D5DED"/>
    <w:rsid w:val="008E25CA"/>
    <w:rsid w:val="008F34FC"/>
    <w:rsid w:val="00902E5A"/>
    <w:rsid w:val="00944CD7"/>
    <w:rsid w:val="00961190"/>
    <w:rsid w:val="00961B99"/>
    <w:rsid w:val="009677B8"/>
    <w:rsid w:val="009831B2"/>
    <w:rsid w:val="009A1ABE"/>
    <w:rsid w:val="009B2471"/>
    <w:rsid w:val="009E21A4"/>
    <w:rsid w:val="009F22C6"/>
    <w:rsid w:val="00A07E50"/>
    <w:rsid w:val="00A12C15"/>
    <w:rsid w:val="00A15397"/>
    <w:rsid w:val="00A35CE0"/>
    <w:rsid w:val="00A43102"/>
    <w:rsid w:val="00A4462E"/>
    <w:rsid w:val="00A44AA4"/>
    <w:rsid w:val="00A55567"/>
    <w:rsid w:val="00A61623"/>
    <w:rsid w:val="00A63EA4"/>
    <w:rsid w:val="00A84687"/>
    <w:rsid w:val="00A91DC9"/>
    <w:rsid w:val="00AA0458"/>
    <w:rsid w:val="00AA22EC"/>
    <w:rsid w:val="00AB0A0E"/>
    <w:rsid w:val="00AB6900"/>
    <w:rsid w:val="00AD2655"/>
    <w:rsid w:val="00AD3B6E"/>
    <w:rsid w:val="00AF6D31"/>
    <w:rsid w:val="00B1751F"/>
    <w:rsid w:val="00B50F96"/>
    <w:rsid w:val="00B56722"/>
    <w:rsid w:val="00B67044"/>
    <w:rsid w:val="00B74D39"/>
    <w:rsid w:val="00B827C6"/>
    <w:rsid w:val="00B85625"/>
    <w:rsid w:val="00B91DA4"/>
    <w:rsid w:val="00BA0B0E"/>
    <w:rsid w:val="00BA7174"/>
    <w:rsid w:val="00C0403B"/>
    <w:rsid w:val="00C12630"/>
    <w:rsid w:val="00C34562"/>
    <w:rsid w:val="00C3774E"/>
    <w:rsid w:val="00C40729"/>
    <w:rsid w:val="00C57456"/>
    <w:rsid w:val="00C65387"/>
    <w:rsid w:val="00C818BA"/>
    <w:rsid w:val="00C8587B"/>
    <w:rsid w:val="00C86F79"/>
    <w:rsid w:val="00C87FAB"/>
    <w:rsid w:val="00C91FF7"/>
    <w:rsid w:val="00C92D15"/>
    <w:rsid w:val="00C94E53"/>
    <w:rsid w:val="00CA0EAE"/>
    <w:rsid w:val="00CB3218"/>
    <w:rsid w:val="00CE3FC3"/>
    <w:rsid w:val="00D0048E"/>
    <w:rsid w:val="00D23E7A"/>
    <w:rsid w:val="00D56D8F"/>
    <w:rsid w:val="00D61063"/>
    <w:rsid w:val="00D91451"/>
    <w:rsid w:val="00DA609B"/>
    <w:rsid w:val="00DB35AF"/>
    <w:rsid w:val="00DD72D7"/>
    <w:rsid w:val="00DF5B88"/>
    <w:rsid w:val="00E00523"/>
    <w:rsid w:val="00E0589E"/>
    <w:rsid w:val="00E0697F"/>
    <w:rsid w:val="00E241FA"/>
    <w:rsid w:val="00E2595E"/>
    <w:rsid w:val="00E35374"/>
    <w:rsid w:val="00E50C19"/>
    <w:rsid w:val="00E64655"/>
    <w:rsid w:val="00E73081"/>
    <w:rsid w:val="00E856C9"/>
    <w:rsid w:val="00EA4F68"/>
    <w:rsid w:val="00EA6FCA"/>
    <w:rsid w:val="00EB1624"/>
    <w:rsid w:val="00EB6A8B"/>
    <w:rsid w:val="00EC1FE4"/>
    <w:rsid w:val="00EC6814"/>
    <w:rsid w:val="00EC6F5C"/>
    <w:rsid w:val="00ED411D"/>
    <w:rsid w:val="00EF38C6"/>
    <w:rsid w:val="00F42D8B"/>
    <w:rsid w:val="00F47BB6"/>
    <w:rsid w:val="00F679C7"/>
    <w:rsid w:val="00F7711A"/>
    <w:rsid w:val="00F80C72"/>
    <w:rsid w:val="00F8270D"/>
    <w:rsid w:val="00F834C7"/>
    <w:rsid w:val="00FA0D58"/>
    <w:rsid w:val="00FA1580"/>
    <w:rsid w:val="00FA56F4"/>
    <w:rsid w:val="00FB4EDA"/>
    <w:rsid w:val="00FD3BD5"/>
    <w:rsid w:val="00FE3DC8"/>
    <w:rsid w:val="03995F4B"/>
    <w:rsid w:val="04073F84"/>
    <w:rsid w:val="0551119D"/>
    <w:rsid w:val="08410432"/>
    <w:rsid w:val="095435A5"/>
    <w:rsid w:val="09DA0F43"/>
    <w:rsid w:val="0B60750A"/>
    <w:rsid w:val="0CD4047E"/>
    <w:rsid w:val="10686488"/>
    <w:rsid w:val="10AB3C2B"/>
    <w:rsid w:val="10DF728A"/>
    <w:rsid w:val="12430B68"/>
    <w:rsid w:val="1264200E"/>
    <w:rsid w:val="141C5B77"/>
    <w:rsid w:val="14785742"/>
    <w:rsid w:val="153B5C0F"/>
    <w:rsid w:val="16F63349"/>
    <w:rsid w:val="18725562"/>
    <w:rsid w:val="18C153A1"/>
    <w:rsid w:val="18D8339D"/>
    <w:rsid w:val="1A21388F"/>
    <w:rsid w:val="1A570D2F"/>
    <w:rsid w:val="1B705330"/>
    <w:rsid w:val="1DE72E76"/>
    <w:rsid w:val="1E1A3D74"/>
    <w:rsid w:val="200651BD"/>
    <w:rsid w:val="252878F6"/>
    <w:rsid w:val="258055A6"/>
    <w:rsid w:val="28FB0B8D"/>
    <w:rsid w:val="29CC6720"/>
    <w:rsid w:val="2A55342B"/>
    <w:rsid w:val="2D2B7942"/>
    <w:rsid w:val="2D46481D"/>
    <w:rsid w:val="2E733B28"/>
    <w:rsid w:val="2F381B0A"/>
    <w:rsid w:val="2F8C4909"/>
    <w:rsid w:val="316840F2"/>
    <w:rsid w:val="31852B5A"/>
    <w:rsid w:val="31F6127B"/>
    <w:rsid w:val="32D01238"/>
    <w:rsid w:val="33821E75"/>
    <w:rsid w:val="342221B4"/>
    <w:rsid w:val="347C7247"/>
    <w:rsid w:val="359B00CE"/>
    <w:rsid w:val="372D3259"/>
    <w:rsid w:val="3C65037C"/>
    <w:rsid w:val="3DFC59A8"/>
    <w:rsid w:val="3ECF245E"/>
    <w:rsid w:val="3FB96314"/>
    <w:rsid w:val="3FDE3B8E"/>
    <w:rsid w:val="415435AD"/>
    <w:rsid w:val="418260B6"/>
    <w:rsid w:val="422D1E29"/>
    <w:rsid w:val="424F06A7"/>
    <w:rsid w:val="42EF63DF"/>
    <w:rsid w:val="454D3B2E"/>
    <w:rsid w:val="47B158EC"/>
    <w:rsid w:val="4C024ABC"/>
    <w:rsid w:val="50F0101D"/>
    <w:rsid w:val="53A44FAF"/>
    <w:rsid w:val="55250CF7"/>
    <w:rsid w:val="55CD3348"/>
    <w:rsid w:val="56C6228C"/>
    <w:rsid w:val="573D2324"/>
    <w:rsid w:val="594329EC"/>
    <w:rsid w:val="59855A9B"/>
    <w:rsid w:val="59C512CB"/>
    <w:rsid w:val="5B465A5E"/>
    <w:rsid w:val="5BEE1540"/>
    <w:rsid w:val="5C6E4B46"/>
    <w:rsid w:val="5DE61A5D"/>
    <w:rsid w:val="5FCE5927"/>
    <w:rsid w:val="633A5921"/>
    <w:rsid w:val="63C04243"/>
    <w:rsid w:val="649C01C7"/>
    <w:rsid w:val="68684FBE"/>
    <w:rsid w:val="699A3F60"/>
    <w:rsid w:val="6B182842"/>
    <w:rsid w:val="6B522BE8"/>
    <w:rsid w:val="6E1035BD"/>
    <w:rsid w:val="70633089"/>
    <w:rsid w:val="72902E62"/>
    <w:rsid w:val="73C61104"/>
    <w:rsid w:val="75AE39D8"/>
    <w:rsid w:val="75D33ECE"/>
    <w:rsid w:val="776452EA"/>
    <w:rsid w:val="7D8E7713"/>
    <w:rsid w:val="7DC663B9"/>
    <w:rsid w:val="7FD21032"/>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1"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after="160" w:line="480" w:lineRule="auto"/>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7"/>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28"/>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29"/>
    <w:unhideWhenUsed/>
    <w:qFormat/>
    <w:uiPriority w:val="9"/>
    <w:pPr>
      <w:keepNext/>
      <w:keepLines/>
      <w:spacing w:before="260" w:after="260" w:line="416" w:lineRule="auto"/>
      <w:outlineLvl w:val="2"/>
    </w:pPr>
    <w:rPr>
      <w:b/>
      <w:bCs/>
      <w:sz w:val="32"/>
      <w:szCs w:val="32"/>
    </w:rPr>
  </w:style>
  <w:style w:type="paragraph" w:styleId="5">
    <w:name w:val="heading 4"/>
    <w:basedOn w:val="1"/>
    <w:next w:val="1"/>
    <w:link w:val="30"/>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14">
    <w:name w:val="Default Paragraph Font"/>
    <w:semiHidden/>
    <w:unhideWhenUsed/>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6">
    <w:name w:val="Date"/>
    <w:basedOn w:val="1"/>
    <w:next w:val="1"/>
    <w:link w:val="31"/>
    <w:semiHidden/>
    <w:unhideWhenUsed/>
    <w:qFormat/>
    <w:uiPriority w:val="99"/>
    <w:pPr>
      <w:ind w:left="100" w:leftChars="2500"/>
    </w:pPr>
  </w:style>
  <w:style w:type="paragraph" w:styleId="7">
    <w:name w:val="Balloon Text"/>
    <w:basedOn w:val="1"/>
    <w:link w:val="19"/>
    <w:semiHidden/>
    <w:unhideWhenUsed/>
    <w:qFormat/>
    <w:uiPriority w:val="99"/>
    <w:rPr>
      <w:sz w:val="18"/>
      <w:szCs w:val="18"/>
    </w:rPr>
  </w:style>
  <w:style w:type="paragraph" w:styleId="8">
    <w:name w:val="footer"/>
    <w:basedOn w:val="1"/>
    <w:link w:val="16"/>
    <w:unhideWhenUsed/>
    <w:qFormat/>
    <w:uiPriority w:val="99"/>
    <w:pPr>
      <w:tabs>
        <w:tab w:val="center" w:pos="4153"/>
        <w:tab w:val="right" w:pos="8306"/>
      </w:tabs>
      <w:snapToGrid w:val="0"/>
      <w:jc w:val="left"/>
    </w:pPr>
    <w:rPr>
      <w:rFonts w:asciiTheme="minorHAnsi" w:hAnsiTheme="minorHAnsi" w:eastAsiaTheme="minorEastAsia" w:cstheme="minorBidi"/>
      <w:sz w:val="18"/>
      <w:szCs w:val="18"/>
    </w:rPr>
  </w:style>
  <w:style w:type="paragraph" w:styleId="9">
    <w:name w:val="header"/>
    <w:basedOn w:val="1"/>
    <w:link w:val="15"/>
    <w:unhideWhenUsed/>
    <w:qFormat/>
    <w:uiPriority w:val="99"/>
    <w:pPr>
      <w:pBdr>
        <w:bottom w:val="single" w:color="auto" w:sz="6" w:space="1"/>
      </w:pBdr>
      <w:tabs>
        <w:tab w:val="center" w:pos="4153"/>
        <w:tab w:val="right" w:pos="8306"/>
      </w:tabs>
      <w:snapToGrid w:val="0"/>
      <w:jc w:val="center"/>
    </w:pPr>
    <w:rPr>
      <w:rFonts w:asciiTheme="minorHAnsi" w:hAnsiTheme="minorHAnsi" w:eastAsiaTheme="minorEastAsia" w:cstheme="minorBidi"/>
      <w:sz w:val="18"/>
      <w:szCs w:val="18"/>
    </w:rPr>
  </w:style>
  <w:style w:type="paragraph" w:styleId="10">
    <w:name w:val="Subtitle"/>
    <w:basedOn w:val="1"/>
    <w:next w:val="1"/>
    <w:link w:val="21"/>
    <w:qFormat/>
    <w:uiPriority w:val="11"/>
    <w:pPr>
      <w:widowControl/>
      <w:spacing w:after="200" w:line="276" w:lineRule="auto"/>
      <w:jc w:val="left"/>
    </w:pPr>
    <w:rPr>
      <w:rFonts w:asciiTheme="majorHAnsi" w:hAnsiTheme="majorHAnsi" w:eastAsiaTheme="majorEastAsia" w:cstheme="majorBidi"/>
      <w:i/>
      <w:iCs/>
      <w:color w:val="F0A22E" w:themeColor="accent1"/>
      <w:spacing w:val="15"/>
      <w:kern w:val="0"/>
      <w:sz w:val="24"/>
    </w:rPr>
  </w:style>
  <w:style w:type="paragraph" w:styleId="11">
    <w:name w:val="Title"/>
    <w:basedOn w:val="1"/>
    <w:next w:val="1"/>
    <w:link w:val="20"/>
    <w:qFormat/>
    <w:uiPriority w:val="10"/>
    <w:pPr>
      <w:widowControl/>
      <w:pBdr>
        <w:bottom w:val="single" w:color="F0A22E" w:themeColor="accent1" w:sz="8" w:space="4"/>
      </w:pBdr>
      <w:spacing w:after="300"/>
      <w:contextualSpacing/>
      <w:jc w:val="left"/>
    </w:pPr>
    <w:rPr>
      <w:rFonts w:asciiTheme="majorHAnsi" w:hAnsiTheme="majorHAnsi" w:eastAsiaTheme="majorEastAsia" w:cstheme="majorBidi"/>
      <w:color w:val="3A2C23" w:themeColor="text2" w:themeShade="BF"/>
      <w:spacing w:val="5"/>
      <w:kern w:val="28"/>
      <w:sz w:val="52"/>
      <w:szCs w:val="52"/>
    </w:rPr>
  </w:style>
  <w:style w:type="table" w:styleId="13">
    <w:name w:val="Table Grid"/>
    <w:basedOn w:val="12"/>
    <w:qFormat/>
    <w:uiPriority w:val="1"/>
    <w:rPr>
      <w:sz w:val="22"/>
    </w:r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character" w:customStyle="1" w:styleId="15">
    <w:name w:val="页眉 Char"/>
    <w:basedOn w:val="14"/>
    <w:link w:val="9"/>
    <w:qFormat/>
    <w:uiPriority w:val="99"/>
    <w:rPr>
      <w:sz w:val="18"/>
      <w:szCs w:val="18"/>
    </w:rPr>
  </w:style>
  <w:style w:type="character" w:customStyle="1" w:styleId="16">
    <w:name w:val="页脚 Char"/>
    <w:basedOn w:val="14"/>
    <w:link w:val="8"/>
    <w:qFormat/>
    <w:uiPriority w:val="99"/>
    <w:rPr>
      <w:sz w:val="18"/>
      <w:szCs w:val="18"/>
    </w:rPr>
  </w:style>
  <w:style w:type="paragraph" w:styleId="17">
    <w:name w:val="No Spacing"/>
    <w:link w:val="18"/>
    <w:qFormat/>
    <w:uiPriority w:val="1"/>
    <w:pPr>
      <w:spacing w:after="160" w:line="480" w:lineRule="auto"/>
    </w:pPr>
    <w:rPr>
      <w:rFonts w:asciiTheme="minorHAnsi" w:hAnsiTheme="minorHAnsi" w:eastAsiaTheme="minorEastAsia" w:cstheme="minorBidi"/>
      <w:sz w:val="22"/>
      <w:szCs w:val="22"/>
      <w:lang w:val="en-US" w:eastAsia="zh-CN" w:bidi="ar-SA"/>
    </w:rPr>
  </w:style>
  <w:style w:type="character" w:customStyle="1" w:styleId="18">
    <w:name w:val="无间隔 Char"/>
    <w:basedOn w:val="14"/>
    <w:link w:val="17"/>
    <w:qFormat/>
    <w:uiPriority w:val="1"/>
    <w:rPr>
      <w:kern w:val="0"/>
      <w:sz w:val="22"/>
    </w:rPr>
  </w:style>
  <w:style w:type="character" w:customStyle="1" w:styleId="19">
    <w:name w:val="批注框文本 Char"/>
    <w:basedOn w:val="14"/>
    <w:link w:val="7"/>
    <w:semiHidden/>
    <w:qFormat/>
    <w:uiPriority w:val="99"/>
    <w:rPr>
      <w:rFonts w:ascii="Times New Roman" w:hAnsi="Times New Roman" w:eastAsia="宋体" w:cs="Times New Roman"/>
      <w:sz w:val="18"/>
      <w:szCs w:val="18"/>
    </w:rPr>
  </w:style>
  <w:style w:type="character" w:customStyle="1" w:styleId="20">
    <w:name w:val="标题 Char"/>
    <w:basedOn w:val="14"/>
    <w:link w:val="11"/>
    <w:qFormat/>
    <w:uiPriority w:val="10"/>
    <w:rPr>
      <w:rFonts w:asciiTheme="majorHAnsi" w:hAnsiTheme="majorHAnsi" w:eastAsiaTheme="majorEastAsia" w:cstheme="majorBidi"/>
      <w:color w:val="3A2C23" w:themeColor="text2" w:themeShade="BF"/>
      <w:spacing w:val="5"/>
      <w:kern w:val="28"/>
      <w:sz w:val="52"/>
      <w:szCs w:val="52"/>
    </w:rPr>
  </w:style>
  <w:style w:type="character" w:customStyle="1" w:styleId="21">
    <w:name w:val="副标题 Char"/>
    <w:basedOn w:val="14"/>
    <w:link w:val="10"/>
    <w:qFormat/>
    <w:uiPriority w:val="11"/>
    <w:rPr>
      <w:rFonts w:asciiTheme="majorHAnsi" w:hAnsiTheme="majorHAnsi" w:eastAsiaTheme="majorEastAsia" w:cstheme="majorBidi"/>
      <w:i/>
      <w:iCs/>
      <w:color w:val="F0A22E" w:themeColor="accent1"/>
      <w:spacing w:val="15"/>
      <w:kern w:val="0"/>
      <w:sz w:val="24"/>
      <w:szCs w:val="24"/>
    </w:rPr>
  </w:style>
  <w:style w:type="character" w:customStyle="1" w:styleId="22">
    <w:name w:val="Style1"/>
    <w:basedOn w:val="14"/>
    <w:qFormat/>
    <w:uiPriority w:val="1"/>
    <w:rPr>
      <w:rFonts w:asciiTheme="minorHAnsi" w:hAnsiTheme="minorEastAsia" w:eastAsiaTheme="minorEastAsia" w:cstheme="minorBidi"/>
      <w:sz w:val="22"/>
      <w:szCs w:val="22"/>
      <w:lang w:eastAsia="zh-CN"/>
    </w:rPr>
  </w:style>
  <w:style w:type="character" w:customStyle="1" w:styleId="23">
    <w:name w:val="Style2"/>
    <w:basedOn w:val="14"/>
    <w:qFormat/>
    <w:uiPriority w:val="1"/>
    <w:rPr>
      <w:rFonts w:asciiTheme="minorHAnsi" w:hAnsiTheme="minorEastAsia" w:eastAsiaTheme="minorEastAsia" w:cstheme="minorBidi"/>
      <w:sz w:val="22"/>
      <w:szCs w:val="22"/>
      <w:lang w:eastAsia="zh-CN"/>
    </w:rPr>
  </w:style>
  <w:style w:type="character" w:customStyle="1" w:styleId="24">
    <w:name w:val="Style3"/>
    <w:basedOn w:val="14"/>
    <w:qFormat/>
    <w:uiPriority w:val="1"/>
    <w:rPr>
      <w:rFonts w:asciiTheme="minorHAnsi" w:hAnsiTheme="minorEastAsia" w:eastAsiaTheme="minorEastAsia" w:cstheme="minorBidi"/>
      <w:szCs w:val="22"/>
      <w:lang w:eastAsia="zh-CN"/>
    </w:rPr>
  </w:style>
  <w:style w:type="character" w:customStyle="1" w:styleId="25">
    <w:name w:val="Style4"/>
    <w:basedOn w:val="14"/>
    <w:qFormat/>
    <w:uiPriority w:val="1"/>
    <w:rPr>
      <w:rFonts w:asciiTheme="minorHAnsi" w:hAnsiTheme="minorEastAsia" w:eastAsiaTheme="minorEastAsia" w:cstheme="minorBidi"/>
      <w:szCs w:val="22"/>
      <w:lang w:eastAsia="zh-CN"/>
    </w:rPr>
  </w:style>
  <w:style w:type="character" w:customStyle="1" w:styleId="26">
    <w:name w:val="Style5"/>
    <w:basedOn w:val="14"/>
    <w:qFormat/>
    <w:uiPriority w:val="1"/>
    <w:rPr>
      <w:rFonts w:asciiTheme="minorHAnsi" w:hAnsiTheme="minorEastAsia" w:eastAsiaTheme="minorEastAsia" w:cstheme="minorBidi"/>
      <w:sz w:val="22"/>
      <w:szCs w:val="22"/>
      <w:lang w:eastAsia="zh-CN"/>
    </w:rPr>
  </w:style>
  <w:style w:type="character" w:customStyle="1" w:styleId="27">
    <w:name w:val="标题 1 Char"/>
    <w:basedOn w:val="14"/>
    <w:link w:val="2"/>
    <w:qFormat/>
    <w:uiPriority w:val="9"/>
    <w:rPr>
      <w:rFonts w:ascii="Times New Roman" w:hAnsi="Times New Roman" w:eastAsia="宋体" w:cs="Times New Roman"/>
      <w:b/>
      <w:bCs/>
      <w:kern w:val="44"/>
      <w:sz w:val="44"/>
      <w:szCs w:val="44"/>
    </w:rPr>
  </w:style>
  <w:style w:type="character" w:customStyle="1" w:styleId="28">
    <w:name w:val="标题 2 Char"/>
    <w:basedOn w:val="14"/>
    <w:link w:val="3"/>
    <w:qFormat/>
    <w:uiPriority w:val="9"/>
    <w:rPr>
      <w:rFonts w:asciiTheme="majorHAnsi" w:hAnsiTheme="majorHAnsi" w:eastAsiaTheme="majorEastAsia" w:cstheme="majorBidi"/>
      <w:b/>
      <w:bCs/>
      <w:sz w:val="32"/>
      <w:szCs w:val="32"/>
    </w:rPr>
  </w:style>
  <w:style w:type="character" w:customStyle="1" w:styleId="29">
    <w:name w:val="标题 3 Char"/>
    <w:basedOn w:val="14"/>
    <w:link w:val="4"/>
    <w:qFormat/>
    <w:uiPriority w:val="9"/>
    <w:rPr>
      <w:rFonts w:ascii="Times New Roman" w:hAnsi="Times New Roman" w:eastAsia="宋体" w:cs="Times New Roman"/>
      <w:b/>
      <w:bCs/>
      <w:sz w:val="32"/>
      <w:szCs w:val="32"/>
    </w:rPr>
  </w:style>
  <w:style w:type="character" w:customStyle="1" w:styleId="30">
    <w:name w:val="标题 4 Char"/>
    <w:basedOn w:val="14"/>
    <w:link w:val="5"/>
    <w:qFormat/>
    <w:uiPriority w:val="9"/>
    <w:rPr>
      <w:rFonts w:asciiTheme="majorHAnsi" w:hAnsiTheme="majorHAnsi" w:eastAsiaTheme="majorEastAsia" w:cstheme="majorBidi"/>
      <w:b/>
      <w:bCs/>
      <w:sz w:val="28"/>
      <w:szCs w:val="28"/>
    </w:rPr>
  </w:style>
  <w:style w:type="character" w:customStyle="1" w:styleId="31">
    <w:name w:val="日期 Char"/>
    <w:basedOn w:val="14"/>
    <w:link w:val="6"/>
    <w:semiHidden/>
    <w:qFormat/>
    <w:uiPriority w:val="99"/>
    <w:rPr>
      <w:rFonts w:ascii="Times New Roman" w:hAnsi="Times New Roman" w:eastAsia="宋体" w:cs="Times New Roman"/>
      <w:szCs w:val="24"/>
    </w:rPr>
  </w:style>
  <w:style w:type="paragraph" w:styleId="32">
    <w:name w:val="List Paragraph"/>
    <w:basedOn w:val="1"/>
    <w:unhideWhenUsed/>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chart" Target="charts/chart4.xml"/><Relationship Id="rId8" Type="http://schemas.openxmlformats.org/officeDocument/2006/relationships/chart" Target="charts/chart3.xml"/><Relationship Id="rId7" Type="http://schemas.openxmlformats.org/officeDocument/2006/relationships/chart" Target="charts/chart2.xml"/><Relationship Id="rId6" Type="http://schemas.openxmlformats.org/officeDocument/2006/relationships/chart" Target="charts/chart1.xml"/><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2.xml"/><Relationship Id="rId12" Type="http://schemas.openxmlformats.org/officeDocument/2006/relationships/customXml" Target="../customXml/item1.xml"/><Relationship Id="rId11" Type="http://schemas.openxmlformats.org/officeDocument/2006/relationships/numbering" Target="numbering.xml"/><Relationship Id="rId10" Type="http://schemas.openxmlformats.org/officeDocument/2006/relationships/chart" Target="charts/chart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charts/_rels/chart1.xml.rels><?xml version="1.0" encoding="UTF-8" standalone="yes"?>
<Relationships xmlns="http://schemas.openxmlformats.org/package/2006/relationships"><Relationship Id="rId1" Type="http://schemas.openxmlformats.org/officeDocument/2006/relationships/package" Target="../embeddings/Workbook4.xlsx"/></Relationships>
</file>

<file path=word/charts/_rels/chart2.xml.rels><?xml version="1.0" encoding="UTF-8" standalone="yes"?>
<Relationships xmlns="http://schemas.openxmlformats.org/package/2006/relationships"><Relationship Id="rId1" Type="http://schemas.openxmlformats.org/officeDocument/2006/relationships/package" Target="../embeddings/Workbook5.xlsx"/></Relationships>
</file>

<file path=word/charts/_rels/chart3.xml.rels><?xml version="1.0" encoding="UTF-8" standalone="yes"?>
<Relationships xmlns="http://schemas.openxmlformats.org/package/2006/relationships"><Relationship Id="rId1" Type="http://schemas.openxmlformats.org/officeDocument/2006/relationships/package" Target="../embeddings/Workbook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Workbook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Workbook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t>收入决算结构</a:t>
            </a:r>
          </a:p>
        </c:rich>
      </c:tx>
      <c:layout/>
      <c:overlay val="0"/>
      <c:spPr>
        <a:noFill/>
        <a:ln>
          <a:noFill/>
        </a:ln>
        <a:effectLst/>
      </c:spPr>
    </c:title>
    <c:autoTitleDeleted val="0"/>
    <c:plotArea>
      <c:layout/>
      <c:pieChart>
        <c:varyColors val="1"/>
        <c:ser>
          <c:idx val="0"/>
          <c:order val="0"/>
          <c:tx>
            <c:strRef>
              <c:f>Sheet1!$B$1</c:f>
              <c:strCache>
                <c:ptCount val="1"/>
                <c:pt idx="0">
                  <c:v>百分比（%）</c:v>
                </c:pt>
              </c:strCache>
            </c:strRef>
          </c:tx>
          <c:explosion val="0"/>
          <c:dPt>
            <c:idx val="0"/>
            <c:bubble3D val="0"/>
            <c:spPr>
              <a:solidFill>
                <a:schemeClr val="accent1">
                  <a:tint val="100000"/>
                  <a:shade val="100000"/>
                  <a:hueMod val="100000"/>
                  <a:satMod val="100000"/>
                </a:schemeClr>
              </a:solidFill>
              <a:ln w="19050">
                <a:solidFill>
                  <a:schemeClr val="lt1"/>
                </a:solidFill>
              </a:ln>
              <a:effectLst/>
            </c:spPr>
          </c:dPt>
          <c:dPt>
            <c:idx val="1"/>
            <c:bubble3D val="0"/>
            <c:spPr>
              <a:solidFill>
                <a:schemeClr val="accent2">
                  <a:tint val="100000"/>
                  <a:shade val="100000"/>
                  <a:hueMod val="100000"/>
                  <a:satMod val="100000"/>
                </a:schemeClr>
              </a:solidFill>
              <a:ln w="19050">
                <a:solidFill>
                  <a:schemeClr val="lt1"/>
                </a:solidFill>
              </a:ln>
              <a:effectLst/>
            </c:spPr>
          </c:dPt>
          <c:dPt>
            <c:idx val="2"/>
            <c:bubble3D val="0"/>
            <c:spPr>
              <a:solidFill>
                <a:schemeClr val="accent3">
                  <a:tint val="100000"/>
                  <a:shade val="100000"/>
                  <a:hueMod val="100000"/>
                  <a:satMod val="100000"/>
                </a:schemeClr>
              </a:solidFill>
              <a:ln w="19050">
                <a:solidFill>
                  <a:schemeClr val="lt1"/>
                </a:solidFill>
              </a:ln>
              <a:effectLst/>
            </c:spPr>
          </c:dPt>
          <c:dPt>
            <c:idx val="3"/>
            <c:bubble3D val="0"/>
            <c:spPr>
              <a:solidFill>
                <a:schemeClr val="accent4">
                  <a:tint val="100000"/>
                  <a:shade val="100000"/>
                  <a:hueMod val="100000"/>
                  <a:satMod val="100000"/>
                </a:schemeClr>
              </a:solidFill>
              <a:ln w="19050">
                <a:solidFill>
                  <a:schemeClr val="lt1"/>
                </a:solidFill>
              </a:ln>
              <a:effectLst/>
            </c:spPr>
          </c:dPt>
          <c:dLbls>
            <c:delete val="1"/>
          </c:dLbls>
          <c:cat>
            <c:strRef>
              <c:f>Sheet1!$A$2:$A$5</c:f>
              <c:strCache>
                <c:ptCount val="4"/>
                <c:pt idx="0">
                  <c:v>财政拨款收入</c:v>
                </c:pt>
                <c:pt idx="1">
                  <c:v>事业收入</c:v>
                </c:pt>
                <c:pt idx="2">
                  <c:v>经营性收入</c:v>
                </c:pt>
                <c:pt idx="3">
                  <c:v>其他收入</c:v>
                </c:pt>
              </c:strCache>
            </c:strRef>
          </c:cat>
          <c:val>
            <c:numRef>
              <c:f>Sheet1!$B$2:$B$5</c:f>
              <c:numCache>
                <c:formatCode>General</c:formatCode>
                <c:ptCount val="4"/>
                <c:pt idx="0">
                  <c:v>100</c:v>
                </c:pt>
                <c:pt idx="1">
                  <c:v>0</c:v>
                </c:pt>
                <c:pt idx="2">
                  <c:v>0</c:v>
                </c:pt>
                <c:pt idx="3">
                  <c:v>0</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zero"/>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t>支出决算结构（万元）</a:t>
            </a:r>
          </a:p>
        </c:rich>
      </c:tx>
      <c:layout/>
      <c:overlay val="0"/>
      <c:spPr>
        <a:noFill/>
        <a:ln>
          <a:noFill/>
        </a:ln>
        <a:effectLst/>
      </c:spPr>
    </c:title>
    <c:autoTitleDeleted val="0"/>
    <c:plotArea>
      <c:layout/>
      <c:pieChart>
        <c:varyColors val="1"/>
        <c:ser>
          <c:idx val="0"/>
          <c:order val="0"/>
          <c:tx>
            <c:strRef>
              <c:f>Sheet1!$B$1</c:f>
              <c:strCache>
                <c:ptCount val="1"/>
                <c:pt idx="0">
                  <c:v>支出金额（万元）</c:v>
                </c:pt>
              </c:strCache>
            </c:strRef>
          </c:tx>
          <c:explosion val="0"/>
          <c:dPt>
            <c:idx val="0"/>
            <c:bubble3D val="0"/>
            <c:spPr>
              <a:solidFill>
                <a:schemeClr val="accent1">
                  <a:tint val="100000"/>
                  <a:shade val="100000"/>
                  <a:hueMod val="100000"/>
                  <a:satMod val="100000"/>
                </a:schemeClr>
              </a:solidFill>
              <a:ln w="19050">
                <a:solidFill>
                  <a:schemeClr val="lt1"/>
                </a:solidFill>
              </a:ln>
              <a:effectLst/>
            </c:spPr>
          </c:dPt>
          <c:dPt>
            <c:idx val="1"/>
            <c:bubble3D val="0"/>
            <c:spPr>
              <a:solidFill>
                <a:schemeClr val="accent2">
                  <a:tint val="100000"/>
                  <a:shade val="100000"/>
                  <a:hueMod val="100000"/>
                  <a:satMod val="100000"/>
                </a:schemeClr>
              </a:solidFill>
              <a:ln w="19050">
                <a:solidFill>
                  <a:schemeClr val="lt1"/>
                </a:solidFill>
              </a:ln>
              <a:effectLst/>
            </c:spPr>
          </c:dPt>
          <c:dPt>
            <c:idx val="2"/>
            <c:bubble3D val="0"/>
            <c:spPr>
              <a:solidFill>
                <a:schemeClr val="accent3">
                  <a:tint val="100000"/>
                  <a:shade val="100000"/>
                  <a:hueMod val="100000"/>
                  <a:satMod val="100000"/>
                </a:schemeClr>
              </a:solidFill>
              <a:ln w="19050">
                <a:solidFill>
                  <a:schemeClr val="lt1"/>
                </a:solidFill>
              </a:ln>
              <a:effectLst/>
            </c:spPr>
          </c:dPt>
          <c:dPt>
            <c:idx val="3"/>
            <c:bubble3D val="0"/>
            <c:spPr>
              <a:solidFill>
                <a:schemeClr val="accent4">
                  <a:tint val="100000"/>
                  <a:shade val="100000"/>
                  <a:hueMod val="100000"/>
                  <a:satMod val="100000"/>
                </a:schemeClr>
              </a:solidFill>
              <a:ln w="19050">
                <a:solidFill>
                  <a:schemeClr val="lt1"/>
                </a:solidFill>
              </a:ln>
              <a:effectLst/>
            </c:spPr>
          </c:dPt>
          <c:dLbls>
            <c:delete val="1"/>
          </c:dLbls>
          <c:cat>
            <c:strRef>
              <c:f>Sheet1!$A$2:$A$5</c:f>
              <c:strCache>
                <c:ptCount val="4"/>
                <c:pt idx="0">
                  <c:v>基本支出</c:v>
                </c:pt>
                <c:pt idx="1">
                  <c:v>项目支出</c:v>
                </c:pt>
              </c:strCache>
            </c:strRef>
          </c:cat>
          <c:val>
            <c:numRef>
              <c:f>Sheet1!$B$2:$B$5</c:f>
              <c:numCache>
                <c:formatCode>General</c:formatCode>
                <c:ptCount val="4"/>
                <c:pt idx="0">
                  <c:v>294.66</c:v>
                </c:pt>
                <c:pt idx="1">
                  <c:v>0</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legendEntry>
        <c:idx val="2"/>
        <c:delete val="1"/>
      </c:legendEntry>
      <c:legendEntry>
        <c:idx val="3"/>
        <c:delete val="1"/>
      </c:legendEntry>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zero"/>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
        <c:rich>
          <a:bodyPr/>
          <a:lstStyle/>
          <a:p>
            <a:pPr>
              <a:defRPr/>
            </a:pPr>
          </a:p>
        </c:rich>
      </c:tx>
    </c:title>
    <c:autoTitleDeleted val="0"/>
    <c:plotArea>
      <c:layout>
        <c:manualLayout>
          <c:layoutTarget val="inner"/>
          <c:xMode val="edge"/>
          <c:yMode val="edge"/>
          <c:x val="0.23695"/>
          <c:y val="0.45226917057903"/>
          <c:w val="0.751800000000001"/>
          <c:h val="0.452081377151801"/>
        </c:manualLayout>
      </c:layout>
      <c:barChart>
        <c:barDir val="bar"/>
        <c:grouping val="clustered"/>
        <c:varyColors val="0"/>
        <c:ser>
          <c:idx val="0"/>
          <c:order val="0"/>
          <c:tx>
            <c:strRef>
              <c:f>Sheet1!$B$1</c:f>
              <c:strCache>
                <c:ptCount val="1"/>
                <c:pt idx="0">
                  <c:v>财政拨款收支（万元）</c:v>
                </c:pt>
              </c:strCache>
            </c:strRef>
          </c:tx>
          <c:spPr>
            <a:solidFill>
              <a:schemeClr val="accent1">
                <a:tint val="100000"/>
                <a:shade val="100000"/>
                <a:hueMod val="100000"/>
                <a:satMod val="100000"/>
              </a:schemeClr>
            </a:solidFill>
            <a:ln w="19050">
              <a:solidFill>
                <a:schemeClr val="lt1"/>
              </a:solidFill>
            </a:ln>
            <a:effectLst/>
          </c:spPr>
          <c:invertIfNegative val="0"/>
          <c:dLbls>
            <c:delete val="1"/>
          </c:dLbls>
          <c:cat>
            <c:strRef>
              <c:f>Sheet1!$A$2:$A$5</c:f>
              <c:strCache>
                <c:ptCount val="4"/>
                <c:pt idx="0">
                  <c:v>2017财政拨款收入</c:v>
                </c:pt>
                <c:pt idx="1">
                  <c:v>2018财政拨款收入</c:v>
                </c:pt>
                <c:pt idx="2">
                  <c:v>2017财政拨款支出</c:v>
                </c:pt>
                <c:pt idx="3">
                  <c:v>2018财政拨款支出</c:v>
                </c:pt>
              </c:strCache>
            </c:strRef>
          </c:cat>
          <c:val>
            <c:numRef>
              <c:f>Sheet1!$B$2:$B$5</c:f>
              <c:numCache>
                <c:formatCode>General</c:formatCode>
                <c:ptCount val="4"/>
                <c:pt idx="0">
                  <c:v>337.08</c:v>
                </c:pt>
                <c:pt idx="1">
                  <c:v>302.08</c:v>
                </c:pt>
                <c:pt idx="2">
                  <c:v>337.08</c:v>
                </c:pt>
                <c:pt idx="3">
                  <c:v>294.66</c:v>
                </c:pt>
              </c:numCache>
            </c:numRef>
          </c:val>
        </c:ser>
        <c:dLbls>
          <c:showLegendKey val="0"/>
          <c:showVal val="0"/>
          <c:showCatName val="0"/>
          <c:showSerName val="0"/>
          <c:showPercent val="0"/>
          <c:showBubbleSize val="0"/>
        </c:dLbls>
        <c:gapWidth val="150"/>
        <c:axId val="112939008"/>
        <c:axId val="112940544"/>
      </c:barChart>
      <c:catAx>
        <c:axId val="112939008"/>
        <c:scaling>
          <c:orientation val="minMax"/>
        </c:scaling>
        <c:delete val="0"/>
        <c:axPos val="l"/>
        <c:majorTickMark val="out"/>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12940544"/>
        <c:crosses val="autoZero"/>
        <c:auto val="1"/>
        <c:lblAlgn val="ctr"/>
        <c:lblOffset val="100"/>
        <c:noMultiLvlLbl val="0"/>
      </c:catAx>
      <c:valAx>
        <c:axId val="112940544"/>
        <c:scaling>
          <c:orientation val="minMax"/>
        </c:scaling>
        <c:delete val="0"/>
        <c:axPos val="b"/>
        <c:majorGridlines>
          <c:spPr>
            <a:ln w="9525" cap="flat" cmpd="sng" algn="ctr">
              <a:solidFill>
                <a:schemeClr val="tx1">
                  <a:lumMod val="15000"/>
                  <a:lumOff val="85000"/>
                </a:schemeClr>
              </a:solidFill>
              <a:prstDash val="solid"/>
              <a:round/>
            </a:ln>
            <a:effectLst/>
          </c:spPr>
        </c:majorGridlines>
        <c:numFmt formatCode="General" sourceLinked="1"/>
        <c:majorTickMark val="out"/>
        <c:minorTickMark val="none"/>
        <c:tickLblPos val="nextTo"/>
        <c:spPr>
          <a:noFill/>
          <a:ln w="12700" cap="flat" cmpd="sng" algn="ctr">
            <a:no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12939008"/>
        <c:crosses val="autoZero"/>
        <c:crossBetween val="between"/>
      </c:valAx>
      <c:spPr>
        <a:noFill/>
        <a:ln>
          <a:noFill/>
        </a:ln>
        <a:effectLst/>
      </c:spPr>
    </c:plotArea>
    <c:legend>
      <c:legendPos val="b"/>
      <c:layout>
        <c:manualLayout>
          <c:xMode val="edge"/>
          <c:yMode val="edge"/>
          <c:x val="0.371"/>
          <c:y val="0.0647887323943662"/>
          <c:w val="0.26175"/>
          <c:h val="0.140532081377152"/>
        </c:manualLayout>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
        <c:rich>
          <a:bodyPr/>
          <a:lstStyle/>
          <a:p>
            <a:pPr>
              <a:defRPr/>
            </a:pPr>
          </a:p>
        </c:rich>
      </c:tx>
    </c:title>
    <c:autoTitleDeleted val="0"/>
    <c:plotArea>
      <c:layout>
        <c:manualLayout>
          <c:layoutTarget val="inner"/>
          <c:xMode val="edge"/>
          <c:yMode val="edge"/>
          <c:x val="0.23695"/>
          <c:y val="0.45226917057903"/>
          <c:w val="0.751800000000001"/>
          <c:h val="0.452081377151801"/>
        </c:manualLayout>
      </c:layout>
      <c:barChart>
        <c:barDir val="bar"/>
        <c:grouping val="clustered"/>
        <c:varyColors val="0"/>
        <c:ser>
          <c:idx val="0"/>
          <c:order val="0"/>
          <c:tx>
            <c:strRef>
              <c:f>Sheet1!$B$1</c:f>
              <c:strCache>
                <c:ptCount val="1"/>
                <c:pt idx="0">
                  <c:v>财政拨款收支预决算对比（万元）</c:v>
                </c:pt>
              </c:strCache>
            </c:strRef>
          </c:tx>
          <c:spPr>
            <a:solidFill>
              <a:schemeClr val="accent1">
                <a:tint val="100000"/>
                <a:shade val="100000"/>
                <a:hueMod val="100000"/>
                <a:satMod val="100000"/>
              </a:schemeClr>
            </a:solidFill>
            <a:ln w="19050">
              <a:solidFill>
                <a:schemeClr val="lt1"/>
              </a:solidFill>
            </a:ln>
            <a:effectLst/>
          </c:spPr>
          <c:invertIfNegative val="0"/>
          <c:dLbls>
            <c:delete val="1"/>
          </c:dLbls>
          <c:cat>
            <c:strRef>
              <c:f>Sheet1!$A$2:$A$5</c:f>
              <c:strCache>
                <c:ptCount val="4"/>
                <c:pt idx="0">
                  <c:v>2018年财政拨款支出预算</c:v>
                </c:pt>
                <c:pt idx="1">
                  <c:v>2018年财政拨款支出</c:v>
                </c:pt>
                <c:pt idx="2">
                  <c:v>2018年财政拨款收入预算</c:v>
                </c:pt>
                <c:pt idx="3">
                  <c:v>2018年财政拨款收入</c:v>
                </c:pt>
              </c:strCache>
            </c:strRef>
          </c:cat>
          <c:val>
            <c:numRef>
              <c:f>Sheet1!$B$2:$B$5</c:f>
              <c:numCache>
                <c:formatCode>General</c:formatCode>
                <c:ptCount val="4"/>
                <c:pt idx="0">
                  <c:v>208.35</c:v>
                </c:pt>
                <c:pt idx="1">
                  <c:v>294.66</c:v>
                </c:pt>
                <c:pt idx="2">
                  <c:v>208.35</c:v>
                </c:pt>
                <c:pt idx="3">
                  <c:v>302.08</c:v>
                </c:pt>
              </c:numCache>
            </c:numRef>
          </c:val>
        </c:ser>
        <c:dLbls>
          <c:showLegendKey val="0"/>
          <c:showVal val="0"/>
          <c:showCatName val="0"/>
          <c:showSerName val="0"/>
          <c:showPercent val="0"/>
          <c:showBubbleSize val="0"/>
        </c:dLbls>
        <c:gapWidth val="150"/>
        <c:axId val="112988160"/>
        <c:axId val="112990464"/>
      </c:barChart>
      <c:catAx>
        <c:axId val="112988160"/>
        <c:scaling>
          <c:orientation val="minMax"/>
        </c:scaling>
        <c:delete val="0"/>
        <c:axPos val="l"/>
        <c:majorTickMark val="out"/>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12990464"/>
        <c:crosses val="autoZero"/>
        <c:auto val="1"/>
        <c:lblAlgn val="ctr"/>
        <c:lblOffset val="100"/>
        <c:noMultiLvlLbl val="0"/>
      </c:catAx>
      <c:valAx>
        <c:axId val="112990464"/>
        <c:scaling>
          <c:orientation val="minMax"/>
        </c:scaling>
        <c:delete val="0"/>
        <c:axPos val="b"/>
        <c:majorGridlines>
          <c:spPr>
            <a:ln w="9525" cap="flat" cmpd="sng" algn="ctr">
              <a:solidFill>
                <a:schemeClr val="tx1">
                  <a:lumMod val="15000"/>
                  <a:lumOff val="85000"/>
                </a:schemeClr>
              </a:solidFill>
              <a:prstDash val="solid"/>
              <a:round/>
            </a:ln>
            <a:effectLst/>
          </c:spPr>
        </c:majorGridlines>
        <c:numFmt formatCode="General" sourceLinked="1"/>
        <c:majorTickMark val="out"/>
        <c:minorTickMark val="none"/>
        <c:tickLblPos val="nextTo"/>
        <c:spPr>
          <a:noFill/>
          <a:ln w="12700" cap="flat" cmpd="sng" algn="ctr">
            <a:no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12988160"/>
        <c:crosses val="autoZero"/>
        <c:crossBetween val="between"/>
      </c:valAx>
      <c:spPr>
        <a:noFill/>
        <a:ln>
          <a:noFill/>
        </a:ln>
        <a:effectLst/>
      </c:spPr>
    </c:plotArea>
    <c:legend>
      <c:legendPos val="b"/>
      <c:layout>
        <c:manualLayout>
          <c:xMode val="edge"/>
          <c:yMode val="edge"/>
          <c:x val="0.371"/>
          <c:y val="0.0647887323943662"/>
          <c:w val="0.26175"/>
          <c:h val="0.140532081377152"/>
        </c:manualLayout>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t>财政拨款支出决算结构</a:t>
            </a:r>
          </a:p>
        </c:rich>
      </c:tx>
      <c:layout/>
      <c:overlay val="0"/>
      <c:spPr>
        <a:noFill/>
        <a:ln>
          <a:noFill/>
        </a:ln>
        <a:effectLst/>
      </c:spPr>
    </c:title>
    <c:autoTitleDeleted val="0"/>
    <c:plotArea>
      <c:layout/>
      <c:pieChart>
        <c:varyColors val="1"/>
        <c:ser>
          <c:idx val="0"/>
          <c:order val="0"/>
          <c:tx>
            <c:strRef>
              <c:f>Sheet1!$B$1</c:f>
              <c:strCache>
                <c:ptCount val="1"/>
                <c:pt idx="0">
                  <c:v>财政拨款支出决算结构(%)</c:v>
                </c:pt>
              </c:strCache>
            </c:strRef>
          </c:tx>
          <c:explosion val="0"/>
          <c:dPt>
            <c:idx val="0"/>
            <c:bubble3D val="0"/>
            <c:spPr>
              <a:solidFill>
                <a:schemeClr val="accent1">
                  <a:tint val="100000"/>
                  <a:shade val="100000"/>
                  <a:hueMod val="100000"/>
                  <a:satMod val="100000"/>
                </a:schemeClr>
              </a:solidFill>
              <a:ln w="19050">
                <a:solidFill>
                  <a:schemeClr val="lt1"/>
                </a:solidFill>
              </a:ln>
              <a:effectLst/>
            </c:spPr>
          </c:dPt>
          <c:dPt>
            <c:idx val="1"/>
            <c:bubble3D val="0"/>
            <c:spPr>
              <a:solidFill>
                <a:schemeClr val="accent2">
                  <a:tint val="100000"/>
                  <a:shade val="100000"/>
                  <a:hueMod val="100000"/>
                  <a:satMod val="100000"/>
                </a:schemeClr>
              </a:solidFill>
              <a:ln w="19050">
                <a:solidFill>
                  <a:schemeClr val="lt1"/>
                </a:solidFill>
              </a:ln>
              <a:effectLst/>
            </c:spPr>
          </c:dPt>
          <c:dLbls>
            <c:delete val="1"/>
          </c:dLbls>
          <c:cat>
            <c:strRef>
              <c:f>Sheet1!$A$2:$A$3</c:f>
              <c:strCache>
                <c:ptCount val="2"/>
                <c:pt idx="0">
                  <c:v>社会保障和就业支出</c:v>
                </c:pt>
                <c:pt idx="1">
                  <c:v>一般公共服务支出</c:v>
                </c:pt>
              </c:strCache>
            </c:strRef>
          </c:cat>
          <c:val>
            <c:numRef>
              <c:f>Sheet1!$B$2:$B$3</c:f>
              <c:numCache>
                <c:formatCode>General</c:formatCode>
                <c:ptCount val="2"/>
                <c:pt idx="0">
                  <c:v>22.76</c:v>
                </c:pt>
                <c:pt idx="1">
                  <c:v>271.9</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zero"/>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pPr>
    </a:p>
  </c:txPr>
  <c:externalData r:id="rId1">
    <c:autoUpdate val="0"/>
  </c:externalData>
</c:chartSpace>
</file>

<file path=word/theme/theme1.xml><?xml version="1.0" encoding="utf-8"?>
<a:theme xmlns:a="http://schemas.openxmlformats.org/drawingml/2006/main" name="Office 主题​​">
  <a:themeElements>
    <a:clrScheme name="跋涉">
      <a:dk1>
        <a:sysClr val="windowText" lastClr="000000"/>
      </a:dk1>
      <a:lt1>
        <a:sysClr val="window" lastClr="FFFFFF"/>
      </a:lt1>
      <a:dk2>
        <a:srgbClr val="4E3B30"/>
      </a:dk2>
      <a:lt2>
        <a:srgbClr val="FBEEC9"/>
      </a:lt2>
      <a:accent1>
        <a:srgbClr val="F0A22E"/>
      </a:accent1>
      <a:accent2>
        <a:srgbClr val="A5644E"/>
      </a:accent2>
      <a:accent3>
        <a:srgbClr val="B58B80"/>
      </a:accent3>
      <a:accent4>
        <a:srgbClr val="C3986D"/>
      </a:accent4>
      <a:accent5>
        <a:srgbClr val="A19574"/>
      </a:accent5>
      <a:accent6>
        <a:srgbClr val="C17529"/>
      </a:accent6>
      <a:hlink>
        <a:srgbClr val="AD1F1F"/>
      </a:hlink>
      <a:folHlink>
        <a:srgbClr val="FFC42F"/>
      </a:folHlink>
    </a:clrScheme>
    <a:fontScheme name="Office 2">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凤舞九天">
      <a:fillStyleLst>
        <a:solidFill>
          <a:schemeClr val="phClr">
            <a:tint val="100000"/>
            <a:shade val="100000"/>
            <a:hueMod val="100000"/>
            <a:satMod val="100000"/>
          </a:schemeClr>
        </a:solidFill>
        <a:gradFill rotWithShape="1">
          <a:gsLst>
            <a:gs pos="0">
              <a:schemeClr val="phClr">
                <a:tint val="65000"/>
                <a:satMod val="180000"/>
              </a:schemeClr>
            </a:gs>
            <a:gs pos="50000">
              <a:schemeClr val="phClr">
                <a:tint val="40000"/>
                <a:satMod val="175000"/>
              </a:schemeClr>
            </a:gs>
            <a:gs pos="100000">
              <a:schemeClr val="phClr">
                <a:tint val="65000"/>
                <a:satMod val="180000"/>
              </a:schemeClr>
            </a:gs>
          </a:gsLst>
          <a:lin ang="0" scaled="1"/>
        </a:gradFill>
        <a:gradFill rotWithShape="1">
          <a:gsLst>
            <a:gs pos="0">
              <a:schemeClr val="phClr">
                <a:shade val="38000"/>
                <a:satMod val="150000"/>
              </a:schemeClr>
            </a:gs>
            <a:gs pos="50000">
              <a:schemeClr val="phClr">
                <a:shade val="100000"/>
                <a:satMod val="100000"/>
              </a:schemeClr>
            </a:gs>
            <a:gs pos="100000">
              <a:schemeClr val="phClr">
                <a:shade val="38000"/>
                <a:satMod val="150000"/>
              </a:schemeClr>
            </a:gs>
          </a:gsLst>
          <a:lin ang="0" scaled="1"/>
        </a:gradFill>
      </a:fillStyleLst>
      <a:lnStyleLst>
        <a:ln w="12700" cap="flat" cmpd="sng" algn="ctr">
          <a:solidFill>
            <a:schemeClr val="phClr"/>
          </a:solidFill>
          <a:prstDash val="solid"/>
        </a:ln>
        <a:ln w="25400" cap="flat" cmpd="sng" algn="ctr">
          <a:solidFill>
            <a:schemeClr val="phClr"/>
          </a:solidFill>
          <a:prstDash val="solid"/>
        </a:ln>
        <a:ln w="38100" cap="flat" cmpd="dbl" algn="ctr">
          <a:solidFill>
            <a:schemeClr val="phClr"/>
          </a:solidFill>
          <a:prstDash val="solid"/>
        </a:ln>
      </a:lnStyleLst>
      <a:effectStyleLst>
        <a:effectStyle>
          <a:effectLst>
            <a:outerShdw blurRad="190500" dist="78600" dir="2700000" rotWithShape="0">
              <a:srgbClr val="000000">
                <a:alpha val="35500"/>
              </a:srgbClr>
            </a:outerShdw>
          </a:effectLst>
        </a:effectStyle>
        <a:effectStyle>
          <a:effectLst>
            <a:outerShdw blurRad="190500" dist="78600" dir="2700000" rotWithShape="0">
              <a:srgbClr val="000000">
                <a:alpha val="35500"/>
              </a:srgbClr>
            </a:outerShdw>
          </a:effectLst>
        </a:effectStyle>
        <a:effectStyle>
          <a:effectLst>
            <a:outerShdw blurRad="190500" dist="78600" dir="2700000" rotWithShape="0">
              <a:srgbClr val="000000">
                <a:alpha val="35500"/>
              </a:srgbClr>
            </a:outerShdw>
          </a:effectLst>
          <a:scene3d>
            <a:camera prst="orthographicFront" fov="0">
              <a:rot lat="0" lon="0" rev="0"/>
            </a:camera>
            <a:lightRig rig="soft" dir="tl">
              <a:rot lat="0" lon="0" rev="20100000"/>
            </a:lightRig>
          </a:scene3d>
          <a:sp3d>
            <a:bevelT w="50800" h="508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2017</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datastoreItem>
</file>

<file path=customXml/itemProps2.xml><?xml version="1.0" encoding="utf-8"?>
<ds:datastoreItem xmlns:ds="http://schemas.openxmlformats.org/officeDocument/2006/customXml" ds:itemID="{E0BC6BCF-022E-4C79-A72A-0ACA18F60096}">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22</Pages>
  <Words>5752</Words>
  <Characters>6031</Characters>
  <Lines>44</Lines>
  <Paragraphs>12</Paragraphs>
  <TotalTime>52</TotalTime>
  <ScaleCrop>false</ScaleCrop>
  <LinksUpToDate>false</LinksUpToDate>
  <CharactersWithSpaces>6056</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2019-09-26T01:09:00Z</dcterms:created>
  <dc:creator>User</dc:creator>
  <cp:lastModifiedBy>Hellen</cp:lastModifiedBy>
  <cp:lastPrinted>2019-09-27T00:42:00Z</cp:lastPrinted>
  <dcterms:modified xsi:type="dcterms:W3CDTF">2023-07-25T07:59:36Z</dcterms:modified>
  <dc:subject>石家庄市xxx部门</dc:subject>
  <dc:title>2017年度部门决算</dc:title>
  <cp:revision>66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95EA139603CA4733B755BB2A162B402E_12</vt:lpwstr>
  </property>
</Properties>
</file>